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54" w:rsidRDefault="002A7354" w:rsidP="002A7354">
      <w:pPr>
        <w:pStyle w:val="2"/>
      </w:pPr>
      <w:bookmarkStart w:id="0" w:name="_GoBack"/>
      <w:bookmarkEnd w:id="0"/>
      <w:r>
        <w:t xml:space="preserve">Мониторинг развития конкуренции включает в себя: </w:t>
      </w:r>
    </w:p>
    <w:p w:rsidR="002A7354" w:rsidRDefault="002A7354" w:rsidP="002A7354">
      <w:pPr>
        <w:pStyle w:val="2"/>
      </w:pPr>
      <w:r>
        <w:t xml:space="preserve"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 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 xml:space="preserve"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 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 xml:space="preserve">сбор данных о состоянии конкурентной среды и его изменении во времени; 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периодом;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 xml:space="preserve"> б) мониторинг удовлетворенности потребителей качеством товаров, работ и услуг на товарных рынках муниципального образования и состоянием ценовой конкуренции, предусматривающий: </w:t>
      </w:r>
    </w:p>
    <w:p w:rsidR="002A7354" w:rsidRDefault="002A7354" w:rsidP="002A7354">
      <w:pPr>
        <w:pStyle w:val="2"/>
      </w:pPr>
      <w:r>
        <w:t xml:space="preserve">- выделение групп потребителей товаров, работ и услуг в соответствии с их социальным статусом (учащиеся, пенсионеры и др.); </w:t>
      </w:r>
    </w:p>
    <w:p w:rsidR="002A7354" w:rsidRDefault="002A7354" w:rsidP="002A7354">
      <w:pPr>
        <w:pStyle w:val="2"/>
      </w:pPr>
      <w:r>
        <w:t xml:space="preserve">- 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 </w:t>
      </w:r>
    </w:p>
    <w:p w:rsidR="002A7354" w:rsidRDefault="002A7354" w:rsidP="002A7354">
      <w:pPr>
        <w:pStyle w:val="2"/>
      </w:pPr>
      <w:r>
        <w:t xml:space="preserve">- сбор данных о восприятии и динамике оценки потребителями состояния конкуренции между продавцами товаров, работ и услуг в муниципальном образовании посредством ценообразования; 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 xml:space="preserve"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уполномоченным органом; 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>г) мониторинг деятельности субъектов естественных монополий на территории муниципального образования, предусматривающий:</w:t>
      </w:r>
    </w:p>
    <w:p w:rsidR="002A7354" w:rsidRDefault="002A7354" w:rsidP="002A7354">
      <w:pPr>
        <w:pStyle w:val="2"/>
      </w:pPr>
      <w:r>
        <w:t xml:space="preserve">-  формирование перечня рынков, на которых присутствуют субъекты естественных монополий; </w:t>
      </w:r>
    </w:p>
    <w:p w:rsidR="002A7354" w:rsidRDefault="002A7354" w:rsidP="002A7354">
      <w:pPr>
        <w:pStyle w:val="2"/>
      </w:pPr>
      <w:r>
        <w:t xml:space="preserve">- сбор данных о развитии конкуренции и удовлетворенности качеством товаров, работ и услуг на выявленных рынках как со стороны субъектов </w:t>
      </w:r>
      <w:r>
        <w:lastRenderedPageBreak/>
        <w:t>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2A7354" w:rsidRDefault="002A7354" w:rsidP="002A7354">
      <w:pPr>
        <w:pStyle w:val="2"/>
      </w:pPr>
      <w:proofErr w:type="gramStart"/>
      <w:r>
        <w:t xml:space="preserve">-  сбор и анализ данных об уровнях тарифов (цен) за текущий и прошедший периоды; </w:t>
      </w:r>
      <w:proofErr w:type="gramEnd"/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proofErr w:type="gramStart"/>
      <w:r>
        <w:t>д) мониторинг деятельности хозяйствующих субъектов, доля участия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муниципального образования, с обозначением рынка их присутствия, на котором осуществляется такая деятельность, а</w:t>
      </w:r>
      <w:proofErr w:type="gramEnd"/>
      <w:r>
        <w:t xml:space="preserve">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муниципального образования). 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 xml:space="preserve">          При проведении мониторинга уполномоченный орган использует в том числе:</w:t>
      </w:r>
    </w:p>
    <w:p w:rsidR="002A7354" w:rsidRDefault="002A7354" w:rsidP="002A7354">
      <w:pPr>
        <w:pStyle w:val="2"/>
      </w:pPr>
      <w:r>
        <w:t xml:space="preserve"> а) результаты опросов субъектов предпринимательской деятельности, экспертов, потребителей товаров, работ и услуг, проводимых уполномоченным органом и организациями, представляющими интересы потребителей; 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местного самоуправления,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 xml:space="preserve"> 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информации. </w:t>
      </w:r>
    </w:p>
    <w:p w:rsidR="002A7354" w:rsidRDefault="002A7354" w:rsidP="002A7354">
      <w:pPr>
        <w:pStyle w:val="2"/>
      </w:pPr>
    </w:p>
    <w:p w:rsidR="002A7354" w:rsidRDefault="002A7354" w:rsidP="002A7354">
      <w:pPr>
        <w:pStyle w:val="2"/>
      </w:pPr>
      <w:r>
        <w:t xml:space="preserve">         Уполномоченный орган вправе самостоятельно выбирать методику проведения мониторинга. </w:t>
      </w:r>
    </w:p>
    <w:p w:rsidR="002A7354" w:rsidRDefault="002A7354" w:rsidP="002A7354">
      <w:pPr>
        <w:pStyle w:val="2"/>
      </w:pPr>
      <w:r>
        <w:t xml:space="preserve">         По результатам проведенного мониторинга уполномоченный орган подготавливает доклад, содержащий в том числе: </w:t>
      </w:r>
    </w:p>
    <w:p w:rsidR="002A7354" w:rsidRDefault="002A7354" w:rsidP="002A7354">
      <w:pPr>
        <w:pStyle w:val="2"/>
      </w:pPr>
      <w:r>
        <w:lastRenderedPageBreak/>
        <w:t xml:space="preserve">а) характеристику состояния конкуренции на рынках, включенных в перечень, а также анализ факторов, ограничивающих конкуренцию; </w:t>
      </w:r>
    </w:p>
    <w:p w:rsidR="002A7354" w:rsidRDefault="002A7354" w:rsidP="002A7354">
      <w:pPr>
        <w:pStyle w:val="2"/>
      </w:pPr>
      <w:r>
        <w:t xml:space="preserve"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муниципального образования; </w:t>
      </w:r>
    </w:p>
    <w:p w:rsidR="002A7354" w:rsidRDefault="002A7354" w:rsidP="002A7354">
      <w:pPr>
        <w:pStyle w:val="2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 </w:t>
      </w:r>
    </w:p>
    <w:p w:rsidR="002A7354" w:rsidRDefault="002A7354" w:rsidP="002A7354">
      <w:pPr>
        <w:pStyle w:val="2"/>
      </w:pPr>
      <w:r>
        <w:t>г) анализ результативности и эффективности деятельности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муниципальном образовании;</w:t>
      </w:r>
    </w:p>
    <w:p w:rsidR="002A7354" w:rsidRDefault="002A7354" w:rsidP="002A7354">
      <w:pPr>
        <w:pStyle w:val="2"/>
      </w:pPr>
      <w:r>
        <w:t xml:space="preserve"> д) предложения об улучшении эффективности и результативности деятельности органов местного самоуправления. </w:t>
      </w:r>
    </w:p>
    <w:p w:rsidR="002A7354" w:rsidRDefault="002A7354" w:rsidP="002A7354">
      <w:pPr>
        <w:pStyle w:val="2"/>
      </w:pPr>
      <w:r>
        <w:t xml:space="preserve">         Доклад рассматривается и утверждается коллегиальным органом и размещается на официальном сайте органа местного самоуправления в сети "Интернет". В докладе должна содержаться информация о результатах анализа развития конкуренции на рынках муниципального образования на основе результатов проведенных опросов (анкетирования), мониторингов, статистической информации, рекомендаций организаций общественного контроля. </w:t>
      </w:r>
    </w:p>
    <w:p w:rsidR="002A7354" w:rsidRDefault="002A7354" w:rsidP="002A7354">
      <w:pPr>
        <w:pStyle w:val="2"/>
      </w:pPr>
    </w:p>
    <w:p w:rsidR="002A7354" w:rsidRPr="009F0E86" w:rsidRDefault="002A7354" w:rsidP="002A7354">
      <w:pPr>
        <w:pStyle w:val="2"/>
        <w:rPr>
          <w:sz w:val="24"/>
          <w:szCs w:val="24"/>
        </w:rPr>
      </w:pPr>
      <w:r>
        <w:t xml:space="preserve">            Доклад ежегодно до 01 февраля направляется уполномоченным органом </w:t>
      </w:r>
      <w:proofErr w:type="gramStart"/>
      <w:r>
        <w:t>в</w:t>
      </w:r>
      <w:proofErr w:type="gramEnd"/>
      <w:r>
        <w:t xml:space="preserve"> _______________________________________________________.</w:t>
      </w:r>
    </w:p>
    <w:p w:rsidR="002A7354" w:rsidRPr="009F0E86" w:rsidRDefault="002A7354" w:rsidP="002A7354">
      <w:pPr>
        <w:pStyle w:val="2"/>
        <w:rPr>
          <w:sz w:val="24"/>
          <w:szCs w:val="24"/>
        </w:rPr>
      </w:pPr>
    </w:p>
    <w:p w:rsidR="002A7354" w:rsidRPr="009F0E86" w:rsidRDefault="002A7354" w:rsidP="002A7354">
      <w:pPr>
        <w:pStyle w:val="2"/>
        <w:rPr>
          <w:sz w:val="24"/>
          <w:szCs w:val="24"/>
        </w:rPr>
      </w:pPr>
    </w:p>
    <w:p w:rsidR="002A7354" w:rsidRPr="009F0E86" w:rsidRDefault="002A7354" w:rsidP="002A7354">
      <w:pPr>
        <w:rPr>
          <w:sz w:val="24"/>
          <w:szCs w:val="24"/>
        </w:rPr>
      </w:pPr>
    </w:p>
    <w:p w:rsidR="008B6543" w:rsidRDefault="008B6543"/>
    <w:sectPr w:rsidR="008B6543" w:rsidSect="0007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54"/>
    <w:rsid w:val="0027756C"/>
    <w:rsid w:val="002A7354"/>
    <w:rsid w:val="008B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735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A73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7354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A73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batanova</dc:creator>
  <cp:lastModifiedBy>Водолеева Елена Алексеевна</cp:lastModifiedBy>
  <cp:revision>2</cp:revision>
  <dcterms:created xsi:type="dcterms:W3CDTF">2018-05-22T07:05:00Z</dcterms:created>
  <dcterms:modified xsi:type="dcterms:W3CDTF">2018-05-22T07:05:00Z</dcterms:modified>
</cp:coreProperties>
</file>