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>Утвержден:</w:t>
      </w:r>
    </w:p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 xml:space="preserve">Постановлением главы администрации </w:t>
      </w:r>
    </w:p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>ГО Первоуральск</w:t>
      </w:r>
    </w:p>
    <w:p w:rsidR="00251BDF" w:rsidRDefault="00BF08C1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>№</w:t>
      </w:r>
      <w:bookmarkStart w:id="0" w:name="_GoBack"/>
      <w:bookmarkEnd w:id="0"/>
      <w:r>
        <w:rPr>
          <w:rFonts w:ascii="ISOCPEUR" w:hAnsi="ISOCPEUR" w:cs="Calibri"/>
          <w:i/>
          <w:sz w:val="28"/>
          <w:szCs w:val="28"/>
        </w:rPr>
        <w:t>53</w:t>
      </w:r>
      <w:r w:rsidR="00251BDF">
        <w:rPr>
          <w:rFonts w:ascii="ISOCPEUR" w:hAnsi="ISOCPEUR" w:cs="Calibri"/>
          <w:i/>
          <w:sz w:val="28"/>
          <w:szCs w:val="28"/>
        </w:rPr>
        <w:t xml:space="preserve"> от  «</w:t>
      </w:r>
      <w:r>
        <w:rPr>
          <w:rFonts w:ascii="ISOCPEUR" w:hAnsi="ISOCPEUR" w:cs="Calibri"/>
          <w:i/>
          <w:sz w:val="28"/>
          <w:szCs w:val="28"/>
        </w:rPr>
        <w:t>24» августа 2018 г.</w:t>
      </w:r>
    </w:p>
    <w:p w:rsidR="00251BDF" w:rsidRDefault="00251BDF" w:rsidP="00251BDF">
      <w:pPr>
        <w:rPr>
          <w:rFonts w:ascii="ISOCPEUR" w:hAnsi="ISOCPEUR" w:cs="Calibri"/>
          <w:i/>
          <w:sz w:val="28"/>
          <w:szCs w:val="28"/>
        </w:rPr>
      </w:pPr>
    </w:p>
    <w:p w:rsidR="001E1905" w:rsidRPr="009026E2" w:rsidRDefault="00251BDF" w:rsidP="009026E2">
      <w:pPr>
        <w:ind w:firstLine="709"/>
        <w:jc w:val="both"/>
        <w:rPr>
          <w:rFonts w:ascii="ISOCPEUR" w:hAnsi="ISOCPEUR"/>
          <w:i/>
          <w:sz w:val="28"/>
          <w:szCs w:val="28"/>
        </w:rPr>
      </w:pPr>
      <w:r w:rsidRPr="007D332B">
        <w:rPr>
          <w:rFonts w:ascii="ISOCPEUR" w:hAnsi="ISOCPEUR" w:cs="Calibri"/>
          <w:b/>
          <w:i/>
          <w:sz w:val="28"/>
          <w:szCs w:val="28"/>
        </w:rPr>
        <w:t xml:space="preserve">Проект планировки и межевания территории линейного </w:t>
      </w:r>
      <w:proofErr w:type="spellStart"/>
      <w:r w:rsidRPr="007D332B">
        <w:rPr>
          <w:rFonts w:ascii="ISOCPEUR" w:hAnsi="ISOCPEUR" w:cs="Calibri"/>
          <w:b/>
          <w:i/>
          <w:sz w:val="28"/>
          <w:szCs w:val="28"/>
        </w:rPr>
        <w:t>обьекта</w:t>
      </w:r>
      <w:proofErr w:type="spellEnd"/>
      <w:r w:rsidRPr="007D332B">
        <w:rPr>
          <w:rFonts w:ascii="ISOCPEUR" w:hAnsi="ISOCPEUR" w:cs="Calibri"/>
          <w:b/>
          <w:i/>
          <w:sz w:val="28"/>
          <w:szCs w:val="28"/>
        </w:rPr>
        <w:t>:</w:t>
      </w:r>
      <w:r w:rsidRPr="007D332B">
        <w:rPr>
          <w:rFonts w:ascii="ISOCPEUR" w:hAnsi="ISOCPEUR"/>
          <w:b/>
        </w:rPr>
        <w:t xml:space="preserve"> </w:t>
      </w:r>
      <w:r w:rsidR="009026E2">
        <w:rPr>
          <w:rFonts w:ascii="ISOCPEUR" w:hAnsi="ISOCPEUR" w:cs="Arial"/>
          <w:b/>
          <w:sz w:val="28"/>
          <w:szCs w:val="28"/>
        </w:rPr>
        <w:t>«</w:t>
      </w:r>
      <w:r w:rsidR="009026E2">
        <w:rPr>
          <w:rFonts w:ascii="ISOCPEUR" w:hAnsi="ISOCPEUR"/>
          <w:i/>
          <w:sz w:val="28"/>
          <w:szCs w:val="28"/>
        </w:rPr>
        <w:t>Газопровод высокого давления с установкой ГРПШ, поселок Билимбай, городской округ Первоуральск».</w:t>
      </w:r>
    </w:p>
    <w:p w:rsidR="007D332B" w:rsidRDefault="007D332B" w:rsidP="009026E2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 w:rsidRPr="0082560D">
        <w:rPr>
          <w:rFonts w:ascii="ISOCPEUR" w:hAnsi="ISOCPEUR" w:cs="Calibri"/>
          <w:b/>
          <w:i/>
          <w:sz w:val="28"/>
          <w:szCs w:val="28"/>
        </w:rPr>
        <w:t>Основание для разработки</w:t>
      </w:r>
      <w:r>
        <w:rPr>
          <w:rFonts w:ascii="ISOCPEUR" w:hAnsi="ISOCPEUR" w:cs="Calibri"/>
          <w:i/>
          <w:sz w:val="28"/>
          <w:szCs w:val="28"/>
        </w:rPr>
        <w:t xml:space="preserve">:           Постановление главы администрации ГО </w:t>
      </w:r>
      <w:r w:rsidR="009026E2">
        <w:rPr>
          <w:rFonts w:ascii="ISOCPEUR" w:hAnsi="ISOCPEUR" w:cs="Calibri"/>
          <w:i/>
          <w:sz w:val="28"/>
          <w:szCs w:val="28"/>
        </w:rPr>
        <w:t xml:space="preserve">Первоуральск №772 </w:t>
      </w:r>
      <w:r>
        <w:rPr>
          <w:rFonts w:ascii="ISOCPEUR" w:hAnsi="ISOCPEUR" w:cs="Calibri"/>
          <w:i/>
          <w:sz w:val="28"/>
          <w:szCs w:val="28"/>
        </w:rPr>
        <w:t>от 27.04.2018г.</w:t>
      </w:r>
    </w:p>
    <w:p w:rsidR="009026E2" w:rsidRDefault="0091252D" w:rsidP="009026E2">
      <w:pPr>
        <w:jc w:val="both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 xml:space="preserve">Объект </w:t>
      </w:r>
      <w:r w:rsidR="009026E2">
        <w:rPr>
          <w:rFonts w:ascii="ISOCPEUR" w:hAnsi="ISOCPEUR"/>
          <w:i/>
          <w:sz w:val="28"/>
          <w:szCs w:val="28"/>
        </w:rPr>
        <w:t>располагается</w:t>
      </w:r>
      <w:r w:rsidR="009026E2">
        <w:rPr>
          <w:rFonts w:ascii="ISOCPEUR" w:hAnsi="ISOCPEUR" w:cs="Calibri"/>
          <w:i/>
          <w:sz w:val="28"/>
          <w:szCs w:val="28"/>
        </w:rPr>
        <w:t xml:space="preserve"> в Свердловской области, </w:t>
      </w:r>
      <w:r w:rsidR="009026E2">
        <w:rPr>
          <w:rFonts w:ascii="ISOCPEUR" w:eastAsia="Batang" w:hAnsi="ISOCPEUR"/>
          <w:i/>
          <w:sz w:val="28"/>
          <w:szCs w:val="28"/>
        </w:rPr>
        <w:t xml:space="preserve"> Первоуральский р-н, п. Билимбай, вблизи участка с к.н. 66:58:1301001:533.</w:t>
      </w:r>
      <w:r w:rsidR="009026E2">
        <w:rPr>
          <w:rFonts w:ascii="ISOCPEUR" w:hAnsi="ISOCPEUR" w:cs="Calibri"/>
          <w:i/>
          <w:sz w:val="28"/>
          <w:szCs w:val="28"/>
        </w:rPr>
        <w:t xml:space="preserve"> </w:t>
      </w:r>
    </w:p>
    <w:p w:rsidR="009026E2" w:rsidRPr="009026E2" w:rsidRDefault="009026E2" w:rsidP="009026E2">
      <w:pPr>
        <w:jc w:val="both"/>
        <w:rPr>
          <w:rFonts w:ascii="ISOCPEUR" w:hAnsi="ISOCPEUR" w:cs="Calibri"/>
          <w:b/>
          <w:i/>
          <w:sz w:val="28"/>
          <w:szCs w:val="28"/>
        </w:rPr>
      </w:pPr>
      <w:r w:rsidRPr="009026E2">
        <w:rPr>
          <w:rFonts w:ascii="ISOCPEUR" w:hAnsi="ISOCPEUR" w:cs="Calibri"/>
          <w:b/>
          <w:i/>
          <w:sz w:val="28"/>
          <w:szCs w:val="28"/>
        </w:rPr>
        <w:t>Основные характеристики линейного объекта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2921"/>
      </w:tblGrid>
      <w:tr w:rsidR="009026E2" w:rsidTr="009026E2">
        <w:trPr>
          <w:trHeight w:val="10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b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b/>
                <w:i/>
                <w:sz w:val="28"/>
                <w:szCs w:val="28"/>
              </w:rPr>
              <w:t xml:space="preserve">Газопровод  высокого  давления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 w:cs="Arial"/>
                <w:b/>
                <w:i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ISOCPEUR" w:hAnsi="ISOCPEUR" w:cs="Arial"/>
                <w:b/>
                <w:i/>
                <w:sz w:val="28"/>
                <w:szCs w:val="28"/>
              </w:rPr>
              <w:t>К-во</w:t>
            </w:r>
            <w:proofErr w:type="gramEnd"/>
          </w:p>
        </w:tc>
      </w:tr>
      <w:tr w:rsidR="009026E2" w:rsidTr="009026E2">
        <w:trPr>
          <w:trHeight w:val="7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sz w:val="28"/>
                <w:szCs w:val="28"/>
              </w:rPr>
              <w:t xml:space="preserve">Врезка газопровода высокого давления в </w:t>
            </w:r>
            <w:proofErr w:type="gramStart"/>
            <w:r>
              <w:rPr>
                <w:rFonts w:ascii="ISOCPEUR" w:hAnsi="ISOCPEUR" w:cs="Arial"/>
                <w:i/>
                <w:sz w:val="28"/>
                <w:szCs w:val="28"/>
              </w:rPr>
              <w:t>существующий</w:t>
            </w:r>
            <w:proofErr w:type="gramEnd"/>
            <w:r>
              <w:rPr>
                <w:rFonts w:ascii="ISOCPEUR" w:hAnsi="ISOCPEUR" w:cs="Arial"/>
                <w:i/>
                <w:sz w:val="28"/>
                <w:szCs w:val="28"/>
              </w:rPr>
              <w:t xml:space="preserve"> Дн-108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 w:cs="Arial"/>
                <w:i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ISOCPEUR" w:hAnsi="ISOCPEUR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sz w:val="28"/>
                <w:szCs w:val="28"/>
              </w:rPr>
              <w:t xml:space="preserve">1 </w:t>
            </w:r>
          </w:p>
        </w:tc>
      </w:tr>
      <w:tr w:rsidR="009026E2" w:rsidTr="009026E2">
        <w:trPr>
          <w:trHeight w:val="9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Газопроводы высокого давления 2 категории (</w:t>
            </w:r>
            <w:proofErr w:type="gramStart"/>
            <w:r>
              <w:rPr>
                <w:rFonts w:ascii="Arial" w:hAnsi="Arial" w:cs="Arial"/>
                <w:i/>
                <w:sz w:val="23"/>
                <w:szCs w:val="23"/>
              </w:rPr>
              <w:t>Р</w:t>
            </w:r>
            <w:proofErr w:type="gramEnd"/>
            <w:r>
              <w:rPr>
                <w:rFonts w:ascii="Arial" w:hAnsi="Arial" w:cs="Arial"/>
                <w:i/>
                <w:sz w:val="23"/>
                <w:szCs w:val="23"/>
              </w:rPr>
              <w:t xml:space="preserve">=0,6 МПа) </w:t>
            </w:r>
            <w:r>
              <w:rPr>
                <w:rFonts w:ascii="ISOCPEUR" w:hAnsi="ISOCPEUR" w:cs="Arial"/>
                <w:i/>
                <w:sz w:val="28"/>
                <w:szCs w:val="28"/>
              </w:rPr>
              <w:t>(в плане/стр. длина)</w:t>
            </w: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3"/>
                <w:szCs w:val="23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Газопроводы низкого давления  (</w:t>
            </w:r>
            <w:proofErr w:type="gramStart"/>
            <w:r>
              <w:rPr>
                <w:rFonts w:ascii="Arial" w:hAnsi="Arial" w:cs="Arial"/>
                <w:i/>
                <w:sz w:val="23"/>
                <w:szCs w:val="23"/>
              </w:rPr>
              <w:t>Р</w:t>
            </w:r>
            <w:proofErr w:type="gramEnd"/>
            <w:r>
              <w:rPr>
                <w:rFonts w:ascii="Arial" w:hAnsi="Arial" w:cs="Arial"/>
                <w:i/>
                <w:sz w:val="23"/>
                <w:szCs w:val="23"/>
              </w:rPr>
              <w:t>=3 кПа)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sz w:val="28"/>
                <w:szCs w:val="28"/>
              </w:rPr>
              <w:t>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4,5м/ 7,5м </w:t>
            </w: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3"/>
                <w:szCs w:val="23"/>
              </w:rPr>
              <w:t>873,5м/ 897,3м</w:t>
            </w:r>
          </w:p>
        </w:tc>
      </w:tr>
      <w:tr w:rsidR="009026E2" w:rsidTr="009026E2">
        <w:trPr>
          <w:trHeight w:val="3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sz w:val="28"/>
                <w:szCs w:val="28"/>
              </w:rPr>
              <w:t>ИТОГО общая протяженность проектируемого газопровода (в плане/стр. длина)</w:t>
            </w: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color w:val="000000"/>
                <w:sz w:val="28"/>
                <w:szCs w:val="28"/>
              </w:rPr>
              <w:t>Установка ГРПШ (максимальный расход газа - 610,45 куб</w:t>
            </w:r>
            <w:proofErr w:type="gramStart"/>
            <w:r>
              <w:rPr>
                <w:rFonts w:ascii="ISOCPEUR" w:hAnsi="ISOCPEUR" w:cs="Arial"/>
                <w:i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ISOCPEUR" w:hAnsi="ISOCPEUR" w:cs="Arial"/>
                <w:i/>
                <w:color w:val="000000"/>
                <w:sz w:val="28"/>
                <w:szCs w:val="28"/>
              </w:rPr>
              <w:t>/час)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  <w:proofErr w:type="gramStart"/>
            <w:r>
              <w:rPr>
                <w:rFonts w:ascii="ISOCPEUR" w:hAnsi="ISOCPEUR" w:cs="Arial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ISOCPEUR" w:hAnsi="ISOCPEUR" w:cs="Arial"/>
                <w:i/>
                <w:sz w:val="28"/>
                <w:szCs w:val="28"/>
              </w:rPr>
              <w:t xml:space="preserve"> </w:t>
            </w: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 w:cs="Arial"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sz w:val="28"/>
                <w:szCs w:val="28"/>
              </w:rPr>
              <w:t>878/904,8м</w:t>
            </w: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hAnsi="ISOCPEUR" w:cs="Arial"/>
                <w:i/>
                <w:sz w:val="28"/>
                <w:szCs w:val="28"/>
              </w:rPr>
            </w:pPr>
          </w:p>
          <w:p w:rsidR="009026E2" w:rsidRDefault="009026E2">
            <w:pPr>
              <w:autoSpaceDE w:val="0"/>
              <w:autoSpaceDN w:val="0"/>
              <w:adjustRightInd w:val="0"/>
              <w:rPr>
                <w:rFonts w:ascii="ISOCPEUR" w:eastAsia="Times New Roman" w:hAnsi="ISOCPEUR" w:cs="Arial"/>
                <w:i/>
                <w:sz w:val="28"/>
                <w:szCs w:val="28"/>
              </w:rPr>
            </w:pPr>
            <w:r>
              <w:rPr>
                <w:rFonts w:ascii="ISOCPEUR" w:hAnsi="ISOCPEUR" w:cs="Arial"/>
                <w:i/>
                <w:sz w:val="28"/>
                <w:szCs w:val="28"/>
              </w:rPr>
              <w:t>1</w:t>
            </w:r>
          </w:p>
        </w:tc>
      </w:tr>
    </w:tbl>
    <w:p w:rsidR="009026E2" w:rsidRDefault="009026E2" w:rsidP="009026E2">
      <w:pPr>
        <w:jc w:val="both"/>
        <w:rPr>
          <w:rFonts w:ascii="ISOCPEUR" w:hAnsi="ISOCPEUR" w:cs="Arial"/>
          <w:i/>
          <w:sz w:val="28"/>
          <w:szCs w:val="28"/>
        </w:rPr>
      </w:pPr>
    </w:p>
    <w:p w:rsidR="009026E2" w:rsidRDefault="009026E2" w:rsidP="009026E2">
      <w:pPr>
        <w:jc w:val="both"/>
        <w:rPr>
          <w:rFonts w:ascii="ISOCPEUR" w:hAnsi="ISOCPEUR" w:cs="Calibri"/>
          <w:bCs/>
          <w:i/>
          <w:sz w:val="28"/>
          <w:szCs w:val="28"/>
        </w:rPr>
      </w:pPr>
      <w:r>
        <w:rPr>
          <w:rFonts w:ascii="ISOCPEUR" w:hAnsi="ISOCPEUR" w:cs="Calibri"/>
          <w:b/>
          <w:bCs/>
          <w:i/>
          <w:sz w:val="28"/>
          <w:szCs w:val="28"/>
        </w:rPr>
        <w:lastRenderedPageBreak/>
        <w:t>Общая площадь</w:t>
      </w:r>
      <w:r>
        <w:rPr>
          <w:rFonts w:ascii="ISOCPEUR" w:hAnsi="ISOCPEUR" w:cs="Calibri"/>
          <w:bCs/>
          <w:i/>
          <w:sz w:val="28"/>
          <w:szCs w:val="28"/>
        </w:rPr>
        <w:t xml:space="preserve"> испрашиваемого земельного участк</w:t>
      </w:r>
      <w:proofErr w:type="gramStart"/>
      <w:r>
        <w:rPr>
          <w:rFonts w:ascii="ISOCPEUR" w:hAnsi="ISOCPEUR" w:cs="Calibri"/>
          <w:bCs/>
          <w:i/>
          <w:sz w:val="28"/>
          <w:szCs w:val="28"/>
        </w:rPr>
        <w:t>а</w:t>
      </w:r>
      <w:r>
        <w:rPr>
          <w:rFonts w:ascii="ISOCPEUR" w:hAnsi="ISOCPEUR" w:cs="Calibri"/>
          <w:b/>
          <w:bCs/>
          <w:i/>
          <w:sz w:val="28"/>
          <w:szCs w:val="28"/>
        </w:rPr>
        <w:t>-</w:t>
      </w:r>
      <w:proofErr w:type="gramEnd"/>
      <w:r>
        <w:rPr>
          <w:rFonts w:ascii="ISOCPEUR" w:hAnsi="ISOCPEUR" w:cs="Calibri"/>
          <w:b/>
          <w:bCs/>
          <w:i/>
          <w:sz w:val="28"/>
          <w:szCs w:val="28"/>
        </w:rPr>
        <w:t xml:space="preserve"> </w:t>
      </w:r>
      <w:r>
        <w:rPr>
          <w:rFonts w:ascii="ISOCPEUR" w:hAnsi="ISOCPEUR"/>
          <w:b/>
          <w:i/>
          <w:sz w:val="28"/>
          <w:szCs w:val="28"/>
        </w:rPr>
        <w:t>ЗУ 1</w:t>
      </w:r>
      <w:r>
        <w:rPr>
          <w:rFonts w:ascii="ISOCPEUR" w:hAnsi="ISOCPEUR"/>
          <w:i/>
          <w:sz w:val="28"/>
          <w:szCs w:val="28"/>
        </w:rPr>
        <w:t xml:space="preserve"> :  -</w:t>
      </w:r>
      <w:r>
        <w:rPr>
          <w:rFonts w:ascii="ISOCPEUR" w:hAnsi="ISOCPEUR" w:cs="Calibri"/>
          <w:bCs/>
          <w:i/>
          <w:sz w:val="28"/>
          <w:szCs w:val="28"/>
        </w:rPr>
        <w:t xml:space="preserve"> </w:t>
      </w:r>
      <w:r>
        <w:rPr>
          <w:rFonts w:ascii="ISOCPEUR" w:hAnsi="ISOCPEUR"/>
          <w:i/>
          <w:sz w:val="28"/>
          <w:szCs w:val="28"/>
        </w:rPr>
        <w:t>8866 кв</w:t>
      </w:r>
      <w:r>
        <w:rPr>
          <w:rFonts w:ascii="ISOCPEUR" w:hAnsi="ISOCPEUR" w:cs="Calibri"/>
          <w:bCs/>
          <w:i/>
          <w:sz w:val="28"/>
          <w:szCs w:val="28"/>
        </w:rPr>
        <w:t>.м.,</w:t>
      </w:r>
    </w:p>
    <w:p w:rsidR="009026E2" w:rsidRDefault="009026E2" w:rsidP="009026E2">
      <w:pPr>
        <w:ind w:firstLine="567"/>
        <w:jc w:val="both"/>
        <w:rPr>
          <w:rFonts w:ascii="ISOCPEUR" w:hAnsi="ISOCPEUR" w:cs="Times New Roman"/>
          <w:i/>
          <w:sz w:val="28"/>
          <w:szCs w:val="28"/>
        </w:rPr>
      </w:pPr>
      <w:r>
        <w:rPr>
          <w:rFonts w:ascii="ISOCPEUR" w:hAnsi="ISOCPEUR"/>
          <w:i/>
          <w:color w:val="000000"/>
          <w:sz w:val="28"/>
          <w:szCs w:val="28"/>
        </w:rPr>
        <w:t>Земли под строительство объекта газификации находятся в ведении администрации Первоуральского городского округа и относятся к землям населённых пунктов.</w:t>
      </w:r>
    </w:p>
    <w:p w:rsidR="009026E2" w:rsidRDefault="009026E2" w:rsidP="009026E2">
      <w:pPr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ЗУ</w:t>
      </w:r>
      <w:proofErr w:type="gramStart"/>
      <w:r>
        <w:rPr>
          <w:rFonts w:ascii="ISOCPEUR" w:hAnsi="ISOCPEUR"/>
          <w:b/>
          <w:i/>
          <w:sz w:val="28"/>
          <w:szCs w:val="28"/>
        </w:rPr>
        <w:t>1</w:t>
      </w:r>
      <w:proofErr w:type="gramEnd"/>
      <w:r>
        <w:rPr>
          <w:rFonts w:ascii="ISOCPEUR" w:hAnsi="ISOCPEUR"/>
          <w:b/>
          <w:i/>
          <w:sz w:val="28"/>
          <w:szCs w:val="28"/>
        </w:rPr>
        <w:t>:</w:t>
      </w:r>
      <w:r>
        <w:rPr>
          <w:rFonts w:ascii="ISOCPEUR" w:hAnsi="ISOCPEUR"/>
          <w:i/>
          <w:sz w:val="28"/>
          <w:szCs w:val="28"/>
        </w:rPr>
        <w:t xml:space="preserve"> Земельный участок </w:t>
      </w:r>
      <w:proofErr w:type="gramStart"/>
      <w:r>
        <w:rPr>
          <w:rFonts w:ascii="ISOCPEUR" w:hAnsi="ISOCPEUR"/>
          <w:i/>
          <w:sz w:val="28"/>
          <w:szCs w:val="28"/>
        </w:rPr>
        <w:t>:З</w:t>
      </w:r>
      <w:proofErr w:type="gramEnd"/>
      <w:r>
        <w:rPr>
          <w:rFonts w:ascii="ISOCPEUR" w:hAnsi="ISOCPEUR"/>
          <w:i/>
          <w:sz w:val="28"/>
          <w:szCs w:val="28"/>
        </w:rPr>
        <w:t>У1, предоставляемый для газопровода, выделяется из состава земель муниципальной собственности населённого пункта в краткосрочное пользование на период строительства линейного объекта</w:t>
      </w:r>
    </w:p>
    <w:p w:rsidR="009026E2" w:rsidRDefault="009026E2" w:rsidP="009026E2">
      <w:pPr>
        <w:autoSpaceDE w:val="0"/>
        <w:autoSpaceDN w:val="0"/>
        <w:adjustRightInd w:val="0"/>
        <w:ind w:firstLine="567"/>
        <w:jc w:val="both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>Вид разрешенного использования</w:t>
      </w:r>
      <w:r>
        <w:rPr>
          <w:rFonts w:ascii="ISOCPEUR" w:hAnsi="ISOCPEUR"/>
          <w:i/>
          <w:sz w:val="28"/>
          <w:szCs w:val="28"/>
        </w:rPr>
        <w:t xml:space="preserve"> в соответствии с классификатором видов разрешенного использования земельных участков: коммунальное обслуживание.</w:t>
      </w:r>
    </w:p>
    <w:p w:rsidR="009026E2" w:rsidRDefault="00DA4931" w:rsidP="009026E2">
      <w:pPr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Основной чертеж.</w:t>
      </w:r>
    </w:p>
    <w:p w:rsidR="007D332B" w:rsidRPr="00DA4931" w:rsidRDefault="009026E2" w:rsidP="00DA4931">
      <w:pPr>
        <w:autoSpaceDE w:val="0"/>
        <w:autoSpaceDN w:val="0"/>
        <w:adjustRightInd w:val="0"/>
        <w:jc w:val="both"/>
        <w:rPr>
          <w:rFonts w:ascii="ISOCPEUR" w:hAnsi="ISOCPEUR" w:cs="Times New Roman"/>
          <w:i/>
          <w:sz w:val="28"/>
          <w:szCs w:val="28"/>
        </w:rPr>
      </w:pPr>
      <w:r>
        <w:rPr>
          <w:rFonts w:ascii="ISOCPEUR" w:hAnsi="ISOCPEUR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96763" cy="5996763"/>
            <wp:effectExtent l="19050" t="0" r="3987" b="0"/>
            <wp:docPr id="2" name="Рисунок 1" descr="2. Чертеж границ зон размещения 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Чертеж границ зон размещения Л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237" cy="599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32B" w:rsidRPr="00DA4931" w:rsidSect="008E5B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ISOCPEUR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DF"/>
    <w:rsid w:val="001E1905"/>
    <w:rsid w:val="00251BDF"/>
    <w:rsid w:val="007D332B"/>
    <w:rsid w:val="0082560D"/>
    <w:rsid w:val="008638BC"/>
    <w:rsid w:val="008E5B5C"/>
    <w:rsid w:val="009026E2"/>
    <w:rsid w:val="0091252D"/>
    <w:rsid w:val="00BF08C1"/>
    <w:rsid w:val="00C80BE8"/>
    <w:rsid w:val="00D26A8E"/>
    <w:rsid w:val="00D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УРАЛГЕОПРОЕКТ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Руденко Кристина Александровна</cp:lastModifiedBy>
  <cp:revision>2</cp:revision>
  <dcterms:created xsi:type="dcterms:W3CDTF">2018-08-28T04:15:00Z</dcterms:created>
  <dcterms:modified xsi:type="dcterms:W3CDTF">2018-08-28T04:15:00Z</dcterms:modified>
</cp:coreProperties>
</file>