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B7" w:rsidRDefault="00B80AB7" w:rsidP="00B80AB7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Основные и дополнительные мероприятия, направленные на снижение напряженности на рынке труда.</w:t>
      </w:r>
    </w:p>
    <w:p w:rsidR="00B80AB7" w:rsidRDefault="00B80AB7" w:rsidP="00B80AB7">
      <w:pPr>
        <w:spacing w:before="240"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 2020 году ГКУ «Первоуральский ЦЗ» продолжил реализацию мероприятий в рамках государственной программы Свердловской области «Содействие занятости населения Свердловской области до 2024 года». По состоянию на 7 декабря 2020 года достигнуты следующие целевые показатели. </w:t>
      </w:r>
    </w:p>
    <w:tbl>
      <w:tblPr>
        <w:tblpPr w:leftFromText="180" w:rightFromText="180" w:vertAnchor="text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466"/>
        <w:gridCol w:w="5311"/>
        <w:gridCol w:w="1134"/>
        <w:gridCol w:w="2553"/>
      </w:tblGrid>
      <w:tr w:rsidR="00B80AB7" w:rsidTr="00B80AB7">
        <w:trPr>
          <w:trHeight w:val="23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bCs/>
                <w:lang w:eastAsia="ru-RU"/>
              </w:rPr>
              <w:t xml:space="preserve">№ </w:t>
            </w:r>
          </w:p>
        </w:tc>
        <w:tc>
          <w:tcPr>
            <w:tcW w:w="5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bCs/>
                <w:lang w:eastAsia="ru-RU"/>
              </w:rPr>
              <w:t>Показатель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bCs/>
                <w:lang w:eastAsia="ru-RU"/>
              </w:rPr>
              <w:t>2020 год</w:t>
            </w:r>
          </w:p>
        </w:tc>
      </w:tr>
      <w:tr w:rsidR="00B80AB7" w:rsidTr="00B80AB7">
        <w:trPr>
          <w:trHeight w:val="405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B7" w:rsidRDefault="00B80AB7">
            <w:pPr>
              <w:spacing w:after="0" w:line="240" w:lineRule="auto"/>
              <w:rPr>
                <w:rFonts w:ascii="Liberation Serif" w:eastAsia="Times New Roman" w:hAnsi="Liberation Serif"/>
                <w:b/>
                <w:bCs/>
                <w:lang w:eastAsia="ru-RU"/>
              </w:rPr>
            </w:pPr>
          </w:p>
        </w:tc>
        <w:tc>
          <w:tcPr>
            <w:tcW w:w="5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B7" w:rsidRDefault="00B80AB7">
            <w:pPr>
              <w:spacing w:after="0" w:line="240" w:lineRule="auto"/>
              <w:rPr>
                <w:rFonts w:ascii="Liberation Serif" w:eastAsia="Times New Roman" w:hAnsi="Liberation Serif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bCs/>
                <w:lang w:eastAsia="ru-RU"/>
              </w:rPr>
              <w:t>план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bCs/>
                <w:lang w:eastAsia="ru-RU"/>
              </w:rPr>
              <w:t>факт</w:t>
            </w:r>
          </w:p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bCs/>
                <w:lang w:eastAsia="ru-RU"/>
              </w:rPr>
              <w:t>по состоянию на 07.12.2020</w:t>
            </w:r>
          </w:p>
        </w:tc>
      </w:tr>
      <w:tr w:rsidR="00B80AB7" w:rsidTr="00B80AB7">
        <w:trPr>
          <w:trHeight w:val="25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lang w:eastAsia="ru-RU"/>
              </w:rPr>
              <w:t>1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lang w:eastAsia="ru-RU"/>
              </w:rPr>
              <w:t>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lang w:eastAsia="ru-RU"/>
              </w:rPr>
              <w:t>4</w:t>
            </w:r>
          </w:p>
        </w:tc>
      </w:tr>
      <w:tr w:rsidR="00B80AB7" w:rsidTr="00B80AB7">
        <w:trPr>
          <w:trHeight w:val="357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1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AB7" w:rsidRDefault="00B80AB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lang w:eastAsia="ru-RU"/>
              </w:rPr>
              <w:t>Количество обращений граждан в ЦЗН, всего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lang w:eastAsia="ru-RU"/>
              </w:rPr>
              <w:t>-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FF0000"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color w:val="000000"/>
                <w:lang w:eastAsia="ru-RU"/>
              </w:rPr>
              <w:t>11225</w:t>
            </w:r>
          </w:p>
        </w:tc>
      </w:tr>
      <w:tr w:rsidR="00B80AB7" w:rsidTr="00B80AB7">
        <w:trPr>
          <w:trHeight w:val="277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B7" w:rsidRDefault="00B80AB7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AB7" w:rsidRDefault="00B80AB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lang w:eastAsia="ru-RU"/>
              </w:rPr>
              <w:t>по вопросу трудоустройства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lang w:eastAsia="ru-RU"/>
              </w:rPr>
              <w:t>-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color w:val="000000"/>
                <w:lang w:eastAsia="ru-RU"/>
              </w:rPr>
              <w:t>8988</w:t>
            </w:r>
          </w:p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color w:val="000000"/>
                <w:sz w:val="20"/>
                <w:lang w:eastAsia="ru-RU"/>
              </w:rPr>
              <w:t xml:space="preserve">(6415 </w:t>
            </w:r>
            <w:proofErr w:type="gramStart"/>
            <w:r>
              <w:rPr>
                <w:rFonts w:ascii="Liberation Serif" w:eastAsia="Times New Roman" w:hAnsi="Liberation Serif"/>
                <w:bCs/>
                <w:color w:val="000000"/>
                <w:sz w:val="20"/>
                <w:lang w:eastAsia="ru-RU"/>
              </w:rPr>
              <w:t>признаны</w:t>
            </w:r>
            <w:proofErr w:type="gramEnd"/>
            <w:r>
              <w:rPr>
                <w:rFonts w:ascii="Liberation Serif" w:eastAsia="Times New Roman" w:hAnsi="Liberation Serif"/>
                <w:bCs/>
                <w:color w:val="000000"/>
                <w:sz w:val="20"/>
                <w:lang w:eastAsia="ru-RU"/>
              </w:rPr>
              <w:t xml:space="preserve"> безработными)</w:t>
            </w:r>
          </w:p>
        </w:tc>
      </w:tr>
      <w:tr w:rsidR="00B80AB7" w:rsidTr="00B80AB7">
        <w:trPr>
          <w:trHeight w:val="45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B7" w:rsidRDefault="00B80AB7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AB7" w:rsidRDefault="00B80AB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lang w:eastAsia="ru-RU"/>
              </w:rPr>
              <w:t xml:space="preserve">за информацией о положении на рынке труда, в </w:t>
            </w:r>
            <w:proofErr w:type="spellStart"/>
            <w:r>
              <w:rPr>
                <w:rFonts w:ascii="Liberation Serif" w:eastAsia="Times New Roman" w:hAnsi="Liberation Serif"/>
                <w:bCs/>
                <w:lang w:eastAsia="ru-RU"/>
              </w:rPr>
              <w:t>т.ч</w:t>
            </w:r>
            <w:proofErr w:type="spellEnd"/>
            <w:r>
              <w:rPr>
                <w:rFonts w:ascii="Liberation Serif" w:eastAsia="Times New Roman" w:hAnsi="Liberation Serif"/>
                <w:bCs/>
                <w:lang w:eastAsia="ru-RU"/>
              </w:rPr>
              <w:t>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lang w:eastAsia="ru-RU"/>
              </w:rPr>
              <w:t>5450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lang w:eastAsia="ru-RU"/>
              </w:rPr>
              <w:t>2237</w:t>
            </w:r>
          </w:p>
        </w:tc>
      </w:tr>
      <w:tr w:rsidR="00B80AB7" w:rsidTr="00B80AB7">
        <w:trPr>
          <w:trHeight w:val="56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2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AB7" w:rsidRDefault="00B80AB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Численность приступивших к п</w:t>
            </w:r>
            <w:r>
              <w:rPr>
                <w:rFonts w:ascii="Liberation Serif" w:eastAsia="Times New Roman" w:hAnsi="Liberation Serif"/>
                <w:bCs/>
                <w:lang w:eastAsia="ru-RU"/>
              </w:rPr>
              <w:t xml:space="preserve">рофессиональному обучению </w:t>
            </w:r>
            <w:r>
              <w:rPr>
                <w:rFonts w:ascii="Liberation Serif" w:eastAsia="Times New Roman" w:hAnsi="Liberation Serif"/>
                <w:lang w:eastAsia="ru-RU"/>
              </w:rPr>
              <w:t>безработных граждан,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lang w:eastAsia="ru-RU"/>
              </w:rPr>
              <w:t>216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lang w:eastAsia="ru-RU"/>
              </w:rPr>
              <w:t>206</w:t>
            </w:r>
          </w:p>
        </w:tc>
      </w:tr>
      <w:tr w:rsidR="00B80AB7" w:rsidTr="00B80AB7">
        <w:trPr>
          <w:trHeight w:val="56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3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AB7" w:rsidRDefault="00B80AB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 xml:space="preserve">Численность получивших услуги по </w:t>
            </w:r>
            <w:r>
              <w:rPr>
                <w:rFonts w:ascii="Liberation Serif" w:eastAsia="Times New Roman" w:hAnsi="Liberation Serif"/>
                <w:bCs/>
                <w:lang w:eastAsia="ru-RU"/>
              </w:rPr>
              <w:t>профессиональной ориентации</w:t>
            </w:r>
            <w:r>
              <w:rPr>
                <w:rFonts w:ascii="Liberation Serif" w:eastAsia="Times New Roman" w:hAnsi="Liberation Serif"/>
                <w:lang w:eastAsia="ru-RU"/>
              </w:rPr>
              <w:t>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lang w:eastAsia="ru-RU"/>
              </w:rPr>
              <w:t>3360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lang w:eastAsia="ru-RU"/>
              </w:rPr>
              <w:t>3230</w:t>
            </w:r>
          </w:p>
        </w:tc>
      </w:tr>
      <w:tr w:rsidR="00B80AB7" w:rsidTr="00B80AB7">
        <w:trPr>
          <w:trHeight w:val="40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4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AB7" w:rsidRDefault="00B80AB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 xml:space="preserve">Численность получивших услуги по </w:t>
            </w:r>
            <w:r>
              <w:rPr>
                <w:rFonts w:ascii="Liberation Serif" w:eastAsia="Times New Roman" w:hAnsi="Liberation Serif"/>
                <w:bCs/>
                <w:lang w:eastAsia="ru-RU"/>
              </w:rPr>
              <w:t>психологической поддержке</w:t>
            </w:r>
            <w:r>
              <w:rPr>
                <w:rFonts w:ascii="Liberation Serif" w:eastAsia="Times New Roman" w:hAnsi="Liberation Serif"/>
                <w:lang w:eastAsia="ru-RU"/>
              </w:rPr>
              <w:t>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lang w:eastAsia="ru-RU"/>
              </w:rPr>
              <w:t>181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lang w:eastAsia="ru-RU"/>
              </w:rPr>
              <w:t>184</w:t>
            </w:r>
          </w:p>
        </w:tc>
      </w:tr>
      <w:tr w:rsidR="00B80AB7" w:rsidTr="00B80AB7">
        <w:trPr>
          <w:trHeight w:val="36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5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AB7" w:rsidRDefault="00B80AB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lang w:eastAsia="ru-RU"/>
              </w:rPr>
              <w:t xml:space="preserve">Социальная адаптация </w:t>
            </w:r>
            <w:r>
              <w:rPr>
                <w:rFonts w:ascii="Liberation Serif" w:eastAsia="Times New Roman" w:hAnsi="Liberation Serif"/>
                <w:lang w:eastAsia="ru-RU"/>
              </w:rPr>
              <w:t>безработных граждан,</w:t>
            </w:r>
            <w:r>
              <w:rPr>
                <w:rFonts w:ascii="Liberation Serif" w:eastAsia="Times New Roman" w:hAnsi="Liberation Serif"/>
                <w:bCs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lang w:eastAsia="ru-RU"/>
              </w:rPr>
              <w:t>181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lang w:eastAsia="ru-RU"/>
              </w:rPr>
              <w:t>182</w:t>
            </w:r>
          </w:p>
        </w:tc>
      </w:tr>
      <w:tr w:rsidR="00B80AB7" w:rsidTr="00B80AB7">
        <w:trPr>
          <w:trHeight w:val="304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6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AB7" w:rsidRDefault="00B80AB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lang w:eastAsia="ru-RU"/>
              </w:rPr>
              <w:t>Численность трудоустроенных,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lang w:eastAsia="ru-RU"/>
              </w:rPr>
              <w:t>3721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lang w:eastAsia="ru-RU"/>
              </w:rPr>
              <w:t>3099</w:t>
            </w:r>
          </w:p>
        </w:tc>
      </w:tr>
      <w:tr w:rsidR="00B80AB7" w:rsidTr="00B80AB7">
        <w:trPr>
          <w:trHeight w:val="49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6.1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AB7" w:rsidRDefault="00B80AB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 xml:space="preserve">Численность участвующих в </w:t>
            </w:r>
            <w:r>
              <w:rPr>
                <w:rFonts w:ascii="Liberation Serif" w:eastAsia="Times New Roman" w:hAnsi="Liberation Serif"/>
                <w:bCs/>
                <w:lang w:eastAsia="ru-RU"/>
              </w:rPr>
              <w:t>общественных работах,</w:t>
            </w:r>
            <w:r>
              <w:rPr>
                <w:rFonts w:ascii="Liberation Serif" w:eastAsia="Times New Roman" w:hAnsi="Liberation Serif"/>
                <w:lang w:eastAsia="ru-RU"/>
              </w:rPr>
              <w:t xml:space="preserve">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lang w:eastAsia="ru-RU"/>
              </w:rPr>
              <w:t>282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lang w:eastAsia="ru-RU"/>
              </w:rPr>
              <w:t>37</w:t>
            </w:r>
          </w:p>
        </w:tc>
      </w:tr>
      <w:tr w:rsidR="00B80AB7" w:rsidTr="00B80AB7">
        <w:trPr>
          <w:trHeight w:val="70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6.2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AB7" w:rsidRDefault="00B80AB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 xml:space="preserve">Организация временного трудоустройства </w:t>
            </w:r>
            <w:r>
              <w:rPr>
                <w:rFonts w:ascii="Liberation Serif" w:eastAsia="Times New Roman" w:hAnsi="Liberation Serif"/>
                <w:bCs/>
                <w:lang w:eastAsia="ru-RU"/>
              </w:rPr>
              <w:t>несовершеннолетних граждан в возрасте от 14 до 18 лет</w:t>
            </w:r>
            <w:r>
              <w:rPr>
                <w:rFonts w:ascii="Liberation Serif" w:eastAsia="Times New Roman" w:hAnsi="Liberation Serif"/>
                <w:lang w:eastAsia="ru-RU"/>
              </w:rPr>
              <w:t>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lang w:eastAsia="ru-RU"/>
              </w:rPr>
              <w:t>550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lang w:eastAsia="ru-RU"/>
              </w:rPr>
              <w:t>5</w:t>
            </w:r>
          </w:p>
        </w:tc>
      </w:tr>
      <w:tr w:rsidR="00B80AB7" w:rsidTr="00B80AB7">
        <w:trPr>
          <w:trHeight w:val="689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6.3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AB7" w:rsidRDefault="00B80AB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Временное трудоустройство</w:t>
            </w:r>
            <w:r>
              <w:rPr>
                <w:rFonts w:ascii="Liberation Serif" w:eastAsia="Times New Roman" w:hAnsi="Liberation Serif"/>
                <w:bCs/>
                <w:lang w:eastAsia="ru-RU"/>
              </w:rPr>
              <w:t xml:space="preserve"> безработных граждан, испытывающих трудности в поиске работы</w:t>
            </w:r>
            <w:r>
              <w:rPr>
                <w:rFonts w:ascii="Liberation Serif" w:eastAsia="Times New Roman" w:hAnsi="Liberation Serif"/>
                <w:lang w:eastAsia="ru-RU"/>
              </w:rPr>
              <w:t>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lang w:eastAsia="ru-RU"/>
              </w:rPr>
              <w:t>42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lang w:eastAsia="ru-RU"/>
              </w:rPr>
              <w:t>24</w:t>
            </w:r>
          </w:p>
        </w:tc>
      </w:tr>
      <w:tr w:rsidR="00B80AB7" w:rsidTr="00B80AB7">
        <w:trPr>
          <w:trHeight w:val="88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6.4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AB7" w:rsidRDefault="00B80AB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 xml:space="preserve">Организация временного трудоустройства безработных граждан </w:t>
            </w:r>
            <w:r>
              <w:rPr>
                <w:rFonts w:ascii="Liberation Serif" w:eastAsia="Times New Roman" w:hAnsi="Liberation Serif"/>
                <w:bCs/>
                <w:lang w:eastAsia="ru-RU"/>
              </w:rPr>
              <w:t>в возрасте от 18 до 20 лет из числа выпускников учреждений среднего профессионального образования</w:t>
            </w:r>
            <w:r>
              <w:rPr>
                <w:rFonts w:ascii="Liberation Serif" w:eastAsia="Times New Roman" w:hAnsi="Liberation Serif"/>
                <w:lang w:eastAsia="ru-RU"/>
              </w:rPr>
              <w:t>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lang w:eastAsia="ru-RU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lang w:eastAsia="ru-RU"/>
              </w:rPr>
              <w:t>0</w:t>
            </w:r>
          </w:p>
        </w:tc>
      </w:tr>
      <w:tr w:rsidR="00B80AB7" w:rsidTr="00B80AB7">
        <w:trPr>
          <w:trHeight w:val="369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6.5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AB7" w:rsidRDefault="00B80AB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Численность</w:t>
            </w:r>
            <w:r>
              <w:rPr>
                <w:rFonts w:ascii="Liberation Serif" w:eastAsia="Times New Roman" w:hAnsi="Liberation Serif"/>
                <w:bCs/>
                <w:lang w:eastAsia="ru-RU"/>
              </w:rPr>
              <w:t xml:space="preserve">  трудоустроенных инвалидов</w:t>
            </w:r>
            <w:r>
              <w:rPr>
                <w:rFonts w:ascii="Liberation Serif" w:eastAsia="Times New Roman" w:hAnsi="Liberation Serif"/>
                <w:lang w:eastAsia="ru-RU"/>
              </w:rPr>
              <w:t>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lang w:eastAsia="ru-RU"/>
              </w:rPr>
              <w:t>86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lang w:eastAsia="ru-RU"/>
              </w:rPr>
              <w:t>49</w:t>
            </w:r>
          </w:p>
        </w:tc>
      </w:tr>
      <w:tr w:rsidR="00B80AB7" w:rsidTr="00B80AB7">
        <w:trPr>
          <w:trHeight w:val="936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7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AB7" w:rsidRDefault="00B80AB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lang w:eastAsia="ru-RU"/>
              </w:rPr>
              <w:t>Содействие безработным гражданам в переезде</w:t>
            </w:r>
            <w:r>
              <w:rPr>
                <w:rFonts w:ascii="Liberation Serif" w:eastAsia="Times New Roman" w:hAnsi="Liberation Serif"/>
                <w:lang w:eastAsia="ru-RU"/>
              </w:rPr>
              <w:t xml:space="preserve"> и безработным гражданам и членам их семей в переселении в другую местность для трудоустройства по направлению службы занятости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lang w:eastAsia="ru-RU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lang w:eastAsia="ru-RU"/>
              </w:rPr>
              <w:t>6</w:t>
            </w:r>
          </w:p>
        </w:tc>
      </w:tr>
      <w:tr w:rsidR="00B80AB7" w:rsidTr="00B80AB7">
        <w:trPr>
          <w:trHeight w:val="391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8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AB7" w:rsidRDefault="00B80AB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 xml:space="preserve">Организация содействия </w:t>
            </w:r>
            <w:proofErr w:type="spellStart"/>
            <w:r>
              <w:rPr>
                <w:rFonts w:ascii="Liberation Serif" w:eastAsia="Times New Roman" w:hAnsi="Liberation Serif"/>
                <w:bCs/>
                <w:lang w:eastAsia="ru-RU"/>
              </w:rPr>
              <w:t>самозанятости</w:t>
            </w:r>
            <w:proofErr w:type="spellEnd"/>
            <w:r>
              <w:rPr>
                <w:rFonts w:ascii="Liberation Serif" w:eastAsia="Times New Roman" w:hAnsi="Liberation Serif"/>
                <w:bCs/>
                <w:lang w:eastAsia="ru-RU"/>
              </w:rPr>
              <w:t xml:space="preserve"> безработных граждан</w:t>
            </w:r>
            <w:r>
              <w:rPr>
                <w:rFonts w:ascii="Liberation Serif" w:eastAsia="Times New Roman" w:hAnsi="Liberation Serif"/>
                <w:lang w:eastAsia="ru-RU"/>
              </w:rPr>
              <w:t>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lang w:eastAsia="ru-RU"/>
              </w:rPr>
              <w:t>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lang w:eastAsia="ru-RU"/>
              </w:rPr>
              <w:t>2</w:t>
            </w:r>
          </w:p>
        </w:tc>
      </w:tr>
      <w:tr w:rsidR="00B80AB7" w:rsidTr="00B80AB7">
        <w:trPr>
          <w:trHeight w:val="49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9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AB7" w:rsidRDefault="00B80AB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 xml:space="preserve">Организация  </w:t>
            </w:r>
            <w:r>
              <w:rPr>
                <w:rFonts w:ascii="Liberation Serif" w:eastAsia="Times New Roman" w:hAnsi="Liberation Serif"/>
                <w:bCs/>
                <w:lang w:eastAsia="ru-RU"/>
              </w:rPr>
              <w:t>ярмарок</w:t>
            </w:r>
            <w:r>
              <w:rPr>
                <w:rFonts w:ascii="Liberation Serif" w:eastAsia="Times New Roman" w:hAnsi="Liberation Serif"/>
                <w:lang w:eastAsia="ru-RU"/>
              </w:rPr>
              <w:t xml:space="preserve">  вакансий и учебных рабочих мест,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lang w:eastAsia="ru-RU"/>
              </w:rPr>
              <w:t>16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lang w:eastAsia="ru-RU"/>
              </w:rPr>
              <w:t>13</w:t>
            </w:r>
          </w:p>
        </w:tc>
      </w:tr>
      <w:tr w:rsidR="00B80AB7" w:rsidTr="00B80AB7">
        <w:trPr>
          <w:trHeight w:val="56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10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AB7" w:rsidRDefault="00B80AB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Обучение женщин, находящихся в отпуске по уходу за ребенком до 3-х лет,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lang w:eastAsia="ru-RU"/>
              </w:rPr>
              <w:t>55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lang w:eastAsia="ru-RU"/>
              </w:rPr>
              <w:t>43</w:t>
            </w:r>
          </w:p>
        </w:tc>
      </w:tr>
      <w:tr w:rsidR="00B80AB7" w:rsidTr="00B80AB7">
        <w:trPr>
          <w:trHeight w:val="56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11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AB7" w:rsidRDefault="00B80AB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Обучение пенсионеров, стремящихся возобновить трудовую деятельность, 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lang w:eastAsia="ru-RU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lang w:eastAsia="ru-RU"/>
              </w:rPr>
              <w:t>5</w:t>
            </w:r>
          </w:p>
        </w:tc>
      </w:tr>
      <w:tr w:rsidR="00B80AB7" w:rsidTr="00B80AB7">
        <w:trPr>
          <w:trHeight w:val="56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12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AB7" w:rsidRDefault="00B80AB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Численность лиц в возрасте 50+, прошедших профессиональное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lang w:eastAsia="ru-RU"/>
              </w:rPr>
              <w:t>45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AB7" w:rsidRDefault="00B80AB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lang w:eastAsia="ru-RU"/>
              </w:rPr>
              <w:t>50</w:t>
            </w:r>
          </w:p>
        </w:tc>
      </w:tr>
    </w:tbl>
    <w:p w:rsidR="00B80AB7" w:rsidRDefault="00B80AB7" w:rsidP="00B80AB7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По состоянию на 7 декабря 2020 года от 287 работодателями городского округа Первоуральск заявлено 4700 вакансии (2019 год: 336 работодателя заявили 6528 вакансий).</w:t>
      </w:r>
    </w:p>
    <w:p w:rsidR="00B80AB7" w:rsidRDefault="00B80AB7" w:rsidP="00B80AB7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Конечно, свои коррективы в ситуацию на рынке труда внесла пандемия. По некоторым мероприятиям государственной программы «Содействие занятости населения Свердловской области до 2024 года» контрольные плановые показатели за 2020 год достигнуты не будут. Например, </w:t>
      </w:r>
      <w:proofErr w:type="gramStart"/>
      <w:r>
        <w:rPr>
          <w:rFonts w:ascii="Liberation Serif" w:hAnsi="Liberation Serif"/>
          <w:sz w:val="24"/>
          <w:szCs w:val="24"/>
        </w:rPr>
        <w:t>условиях</w:t>
      </w:r>
      <w:proofErr w:type="gramEnd"/>
      <w:r>
        <w:rPr>
          <w:rFonts w:ascii="Liberation Serif" w:hAnsi="Liberation Serif"/>
          <w:sz w:val="24"/>
          <w:szCs w:val="24"/>
        </w:rPr>
        <w:t xml:space="preserve"> ограничительных мер по борьбе с распространением новой </w:t>
      </w:r>
      <w:proofErr w:type="spellStart"/>
      <w:r>
        <w:rPr>
          <w:rFonts w:ascii="Liberation Serif" w:hAnsi="Liberation Serif"/>
          <w:sz w:val="24"/>
          <w:szCs w:val="24"/>
        </w:rPr>
        <w:t>коронавирусной</w:t>
      </w:r>
      <w:proofErr w:type="spellEnd"/>
      <w:r>
        <w:rPr>
          <w:rFonts w:ascii="Liberation Serif" w:hAnsi="Liberation Serif"/>
          <w:sz w:val="24"/>
          <w:szCs w:val="24"/>
        </w:rPr>
        <w:t xml:space="preserve"> инфекции не реализовано мероприятие по организации временного трудоустройства несовершеннолетних граждан в возрасте от 14 до 18 в свободное от учебы время. Значительно сократилось число безработных граждан, желающих оформить предпринимательскую деятельность. Пять месяцев (с апреля по август) не проводились ярмарки вакансий. Сократилось количество вакантных должностей и свободных рабочих мест.</w:t>
      </w:r>
    </w:p>
    <w:p w:rsidR="00B80AB7" w:rsidRDefault="00B80AB7" w:rsidP="00B80AB7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В соответствии с «Временными правилами регистрации граждан в целях поиска подходящей работы и в качестве безработных граждан, а также осуществления социальных выплат гражданам, признанным в установленном порядке безработными», утвержденными постановлением Правительства Российской Федерации № 460 от 8 апреля 2020 года, центр занятости перешел на дистанционный режим предоставления государственных услуг. Сегодня процедура подачи заявления в центр занятости для гражданина максимально упрощена.  Не нужно лично посещать учреждение, предоставлять пакет документов. Заявление можно направить дистанционно через порталы «Работа в России» или «</w:t>
      </w:r>
      <w:proofErr w:type="spellStart"/>
      <w:r>
        <w:rPr>
          <w:rFonts w:ascii="Liberation Serif" w:hAnsi="Liberation Serif"/>
          <w:sz w:val="24"/>
          <w:szCs w:val="24"/>
        </w:rPr>
        <w:t>Госуслуги</w:t>
      </w:r>
      <w:proofErr w:type="spellEnd"/>
      <w:r>
        <w:rPr>
          <w:rFonts w:ascii="Liberation Serif" w:hAnsi="Liberation Serif"/>
          <w:sz w:val="24"/>
          <w:szCs w:val="24"/>
        </w:rPr>
        <w:t>» в режиме онлайн. С помощью тех же сервисов можно отследить статус заявления, ознакомиться с размером и периодом выплаты пособия. Все вакансии, поступающие в базу данных центра занятости, также находятся в свободном доступе, на портале «Работа в России», интерактивном портале Департамента по труду и занятости населения Свердловской области. С одной стороны, такая форма взаимодействия очень удобна для клиентов центра занятости. С другой – увеличилось число безработных граждан, которые не занимаются поиском работы, а в центр занятости обратились исключительно за оформлением пособия.</w:t>
      </w:r>
    </w:p>
    <w:p w:rsidR="00B80AB7" w:rsidRDefault="00B80AB7" w:rsidP="00B80AB7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 2020 году в Свердловской области реализуются дополнительные мероприятия, направленные на снижение напряженности на рынке труда: </w:t>
      </w:r>
    </w:p>
    <w:p w:rsidR="00B80AB7" w:rsidRDefault="00B80AB7" w:rsidP="00B80AB7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предоставление юридическим лицам (за исключением государственных (муниципальных) учреждений) и индивидуальным предпринимателям, осуществляющим деятельность на территории Свердловской области, субсидий из областного бюджета в целях возмещения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 и </w:t>
      </w:r>
    </w:p>
    <w:p w:rsidR="00B80AB7" w:rsidRDefault="00B80AB7" w:rsidP="00B80AB7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</w:rPr>
        <w:t xml:space="preserve">предоставление субсидий юридическим лицам (за исключением государственных (муниципальных) учреждений) и индивидуальным предпринимателям, осуществляющим деятельность на территории Свердловской области, из областного бюджета в целях возмещения расходов на частичную оплату труда при организации временного трудоустройства работников, находящихся под риском увольнения </w:t>
      </w:r>
      <w:r>
        <w:rPr>
          <w:rFonts w:ascii="Liberation Serif" w:hAnsi="Liberation Serif"/>
          <w:sz w:val="24"/>
          <w:szCs w:val="24"/>
          <w:lang w:eastAsia="ru-RU"/>
        </w:rPr>
        <w:t>(далее – дополнительные мероприятия).</w:t>
      </w:r>
    </w:p>
    <w:p w:rsidR="00B80AB7" w:rsidRDefault="00B80AB7" w:rsidP="00B80AB7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  <w:lang w:eastAsia="ru-RU"/>
        </w:rPr>
        <w:t>В целях информирования работодателей о возможности участия в дополнительных мероприятиях первоуральским центром занятости была проделана следующая работа</w:t>
      </w:r>
    </w:p>
    <w:p w:rsidR="00B80AB7" w:rsidRDefault="00B80AB7" w:rsidP="00B80AB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  <w:lang w:eastAsia="ru-RU"/>
        </w:rPr>
        <w:t>1.</w:t>
      </w:r>
      <w:r>
        <w:rPr>
          <w:rFonts w:ascii="Liberation Serif" w:hAnsi="Liberation Serif"/>
          <w:sz w:val="24"/>
          <w:szCs w:val="24"/>
          <w:lang w:eastAsia="ru-RU"/>
        </w:rPr>
        <w:tab/>
        <w:t>Информационные письма о дополнительных мероприятиях, планируемых к реализации в Свердловской области, были направлены работодателям городского округа Первоуральск;</w:t>
      </w:r>
    </w:p>
    <w:p w:rsidR="00B80AB7" w:rsidRDefault="00B80AB7" w:rsidP="00B80AB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  <w:lang w:eastAsia="ru-RU"/>
        </w:rPr>
        <w:t>2.</w:t>
      </w:r>
      <w:r>
        <w:rPr>
          <w:rFonts w:ascii="Liberation Serif" w:hAnsi="Liberation Serif"/>
          <w:sz w:val="24"/>
          <w:szCs w:val="24"/>
          <w:lang w:eastAsia="ru-RU"/>
        </w:rPr>
        <w:tab/>
        <w:t>Информационное письмо о дополнительных мероприятиях, направленных на снижение напряженности на рынке труда, было направлено в Администрацию городского округа Первоуральск.</w:t>
      </w:r>
    </w:p>
    <w:p w:rsidR="00B80AB7" w:rsidRDefault="00B80AB7" w:rsidP="00B80AB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  <w:lang w:eastAsia="ru-RU"/>
        </w:rPr>
        <w:lastRenderedPageBreak/>
        <w:t>3.</w:t>
      </w:r>
      <w:r>
        <w:rPr>
          <w:rFonts w:ascii="Liberation Serif" w:hAnsi="Liberation Serif"/>
          <w:sz w:val="24"/>
          <w:szCs w:val="24"/>
          <w:lang w:eastAsia="ru-RU"/>
        </w:rPr>
        <w:tab/>
        <w:t xml:space="preserve">ГКУ «Первоуральский ЦЗ» обратился к Первоуральскому фонду поддержки предпринимательства (далее – фонд) с просьбой оказать содействие в распространении информации о дополнительных мероприятиях, направленных на снижение напряженности на рынке труда, планируемых к реализации в Свердловской области. Фондом была разработана соответствующая анкета для </w:t>
      </w:r>
      <w:proofErr w:type="gramStart"/>
      <w:r>
        <w:rPr>
          <w:rFonts w:ascii="Liberation Serif" w:hAnsi="Liberation Serif"/>
          <w:sz w:val="24"/>
          <w:szCs w:val="24"/>
          <w:lang w:eastAsia="ru-RU"/>
        </w:rPr>
        <w:t>бизнес-сообщества</w:t>
      </w:r>
      <w:proofErr w:type="gramEnd"/>
      <w:r>
        <w:rPr>
          <w:rFonts w:ascii="Liberation Serif" w:hAnsi="Liberation Serif"/>
          <w:sz w:val="24"/>
          <w:szCs w:val="24"/>
          <w:lang w:eastAsia="ru-RU"/>
        </w:rPr>
        <w:t xml:space="preserve"> и сделана рассылка.</w:t>
      </w:r>
    </w:p>
    <w:p w:rsidR="00B80AB7" w:rsidRDefault="00B80AB7" w:rsidP="00B80AB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  <w:lang w:eastAsia="ru-RU"/>
        </w:rPr>
        <w:t>4.</w:t>
      </w:r>
      <w:r>
        <w:rPr>
          <w:rFonts w:ascii="Liberation Serif" w:hAnsi="Liberation Serif"/>
          <w:sz w:val="24"/>
          <w:szCs w:val="24"/>
          <w:lang w:eastAsia="ru-RU"/>
        </w:rPr>
        <w:tab/>
        <w:t>В адрес работодателей, проявивших заинтересованность к участию в мероприятиях (АО «ПНТЗ», ОАО «</w:t>
      </w:r>
      <w:proofErr w:type="spellStart"/>
      <w:r>
        <w:rPr>
          <w:rFonts w:ascii="Liberation Serif" w:hAnsi="Liberation Serif"/>
          <w:sz w:val="24"/>
          <w:szCs w:val="24"/>
          <w:lang w:eastAsia="ru-RU"/>
        </w:rPr>
        <w:t>Уралтрубпром</w:t>
      </w:r>
      <w:proofErr w:type="spellEnd"/>
      <w:r>
        <w:rPr>
          <w:rFonts w:ascii="Liberation Serif" w:hAnsi="Liberation Serif"/>
          <w:sz w:val="24"/>
          <w:szCs w:val="24"/>
          <w:lang w:eastAsia="ru-RU"/>
        </w:rPr>
        <w:t>», ООО ЗНПО «Уником») были направлены письма, разъясняющие механизм участия в данных мероприятиях. В дальнейшем от участия в дополнительных мероприятиях данные работодатели отказались.</w:t>
      </w:r>
    </w:p>
    <w:p w:rsidR="00B80AB7" w:rsidRDefault="00B80AB7" w:rsidP="00B80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  <w:lang w:eastAsia="ru-RU"/>
        </w:rPr>
        <w:t xml:space="preserve">5. Администрацией городского округа Первоуральск было организовано совещание с привлечением </w:t>
      </w:r>
      <w:proofErr w:type="gramStart"/>
      <w:r>
        <w:rPr>
          <w:rFonts w:ascii="Liberation Serif" w:hAnsi="Liberation Serif"/>
          <w:sz w:val="24"/>
          <w:szCs w:val="24"/>
          <w:lang w:eastAsia="ru-RU"/>
        </w:rPr>
        <w:t>бизнес-сообщества</w:t>
      </w:r>
      <w:proofErr w:type="gramEnd"/>
      <w:r>
        <w:rPr>
          <w:rFonts w:ascii="Liberation Serif" w:hAnsi="Liberation Serif"/>
          <w:sz w:val="24"/>
          <w:szCs w:val="24"/>
          <w:lang w:eastAsia="ru-RU"/>
        </w:rPr>
        <w:t>, по вопросу стабилизации ситуации на рынке труда и соблюдения Законодательства Российской Федерации о занятости населения. На совещании в качестве докладчика выступил заместитель директора центра занятости. До присутствующих была доведена информация о дополнительных мероприятиях, направленных на снижение напряженности на рынке труда.</w:t>
      </w:r>
    </w:p>
    <w:p w:rsidR="00B80AB7" w:rsidRDefault="00B80AB7" w:rsidP="00B80AB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  <w:lang w:eastAsia="ru-RU"/>
        </w:rPr>
        <w:t>6.</w:t>
      </w:r>
      <w:r>
        <w:rPr>
          <w:rFonts w:ascii="Liberation Serif" w:hAnsi="Liberation Serif"/>
          <w:sz w:val="24"/>
          <w:szCs w:val="24"/>
          <w:lang w:eastAsia="ru-RU"/>
        </w:rPr>
        <w:tab/>
        <w:t>Информация о дополнительных мероприятиях на рынке труда была направлена в адрес работодателей: ЗАО «ПЗКТ», ООО «</w:t>
      </w:r>
      <w:proofErr w:type="spellStart"/>
      <w:r>
        <w:rPr>
          <w:rFonts w:ascii="Liberation Serif" w:hAnsi="Liberation Serif"/>
          <w:sz w:val="24"/>
          <w:szCs w:val="24"/>
          <w:lang w:eastAsia="ru-RU"/>
        </w:rPr>
        <w:t>Уралэнергодеталь</w:t>
      </w:r>
      <w:proofErr w:type="spellEnd"/>
      <w:r>
        <w:rPr>
          <w:rFonts w:ascii="Liberation Serif" w:hAnsi="Liberation Serif"/>
          <w:sz w:val="24"/>
          <w:szCs w:val="24"/>
          <w:lang w:eastAsia="ru-RU"/>
        </w:rPr>
        <w:t xml:space="preserve">», подавших сведения о введении режима неполной занятости в ноябре 2020 года. </w:t>
      </w:r>
    </w:p>
    <w:p w:rsidR="00B80AB7" w:rsidRDefault="00B80AB7" w:rsidP="00B80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  <w:lang w:eastAsia="ru-RU"/>
        </w:rPr>
        <w:t>К сожалению, заявок от работодателей на участие в дополнительных мероприятиях не поступило.</w:t>
      </w:r>
    </w:p>
    <w:p w:rsidR="00B80AB7" w:rsidRDefault="00B80AB7" w:rsidP="00B80AB7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sz w:val="24"/>
          <w:szCs w:val="24"/>
        </w:rPr>
      </w:pPr>
      <w:bookmarkStart w:id="0" w:name="_GoBack"/>
      <w:bookmarkEnd w:id="0"/>
    </w:p>
    <w:sectPr w:rsidR="00B80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47E5"/>
    <w:multiLevelType w:val="hybridMultilevel"/>
    <w:tmpl w:val="7826E6CE"/>
    <w:lvl w:ilvl="0" w:tplc="9092C6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2B162E"/>
    <w:multiLevelType w:val="hybridMultilevel"/>
    <w:tmpl w:val="A086B1E2"/>
    <w:lvl w:ilvl="0" w:tplc="01D83D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AA02B6"/>
    <w:multiLevelType w:val="hybridMultilevel"/>
    <w:tmpl w:val="6A8C1116"/>
    <w:lvl w:ilvl="0" w:tplc="9984F9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6A5CBE"/>
    <w:multiLevelType w:val="hybridMultilevel"/>
    <w:tmpl w:val="23B8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B4DB6"/>
    <w:multiLevelType w:val="hybridMultilevel"/>
    <w:tmpl w:val="899E19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67BDF"/>
    <w:multiLevelType w:val="hybridMultilevel"/>
    <w:tmpl w:val="5DCCD98E"/>
    <w:lvl w:ilvl="0" w:tplc="387402C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6759D9"/>
    <w:multiLevelType w:val="hybridMultilevel"/>
    <w:tmpl w:val="3CD63E20"/>
    <w:lvl w:ilvl="0" w:tplc="9984F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BB"/>
    <w:rsid w:val="001A49DB"/>
    <w:rsid w:val="00B80AB7"/>
    <w:rsid w:val="00D1282F"/>
    <w:rsid w:val="00D8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80AB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B80AB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B80A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основа Знак"/>
    <w:link w:val="a7"/>
    <w:uiPriority w:val="1"/>
    <w:locked/>
    <w:rsid w:val="00B80AB7"/>
  </w:style>
  <w:style w:type="paragraph" w:styleId="a7">
    <w:name w:val="No Spacing"/>
    <w:aliases w:val="основа"/>
    <w:link w:val="a6"/>
    <w:uiPriority w:val="1"/>
    <w:qFormat/>
    <w:rsid w:val="00B80AB7"/>
    <w:pPr>
      <w:spacing w:after="0" w:line="240" w:lineRule="auto"/>
    </w:pPr>
  </w:style>
  <w:style w:type="character" w:customStyle="1" w:styleId="a8">
    <w:name w:val="Абзац списка Знак"/>
    <w:link w:val="a9"/>
    <w:uiPriority w:val="34"/>
    <w:locked/>
    <w:rsid w:val="00B80AB7"/>
    <w:rPr>
      <w:lang w:val="x-none"/>
    </w:rPr>
  </w:style>
  <w:style w:type="paragraph" w:styleId="a9">
    <w:name w:val="List Paragraph"/>
    <w:basedOn w:val="a"/>
    <w:link w:val="a8"/>
    <w:uiPriority w:val="34"/>
    <w:qFormat/>
    <w:rsid w:val="00B80AB7"/>
    <w:pPr>
      <w:ind w:left="720"/>
      <w:contextualSpacing/>
    </w:pPr>
    <w:rPr>
      <w:rFonts w:asciiTheme="minorHAnsi" w:eastAsiaTheme="minorHAnsi" w:hAnsiTheme="minorHAnsi" w:cstheme="minorBidi"/>
      <w:lang w:val="x-none"/>
    </w:rPr>
  </w:style>
  <w:style w:type="character" w:customStyle="1" w:styleId="aa">
    <w:name w:val="Основной текст_"/>
    <w:link w:val="1"/>
    <w:locked/>
    <w:rsid w:val="00B80AB7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a"/>
    <w:rsid w:val="00B80AB7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/>
      <w:spacing w:val="4"/>
    </w:rPr>
  </w:style>
  <w:style w:type="character" w:customStyle="1" w:styleId="chief-title">
    <w:name w:val="chief-title"/>
    <w:rsid w:val="00B80AB7"/>
  </w:style>
  <w:style w:type="character" w:customStyle="1" w:styleId="company-infotext">
    <w:name w:val="company-info__text"/>
    <w:rsid w:val="00B80AB7"/>
  </w:style>
  <w:style w:type="character" w:customStyle="1" w:styleId="extended-textshort">
    <w:name w:val="extended-text__short"/>
    <w:rsid w:val="00B80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80AB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B80AB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B80A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основа Знак"/>
    <w:link w:val="a7"/>
    <w:uiPriority w:val="1"/>
    <w:locked/>
    <w:rsid w:val="00B80AB7"/>
  </w:style>
  <w:style w:type="paragraph" w:styleId="a7">
    <w:name w:val="No Spacing"/>
    <w:aliases w:val="основа"/>
    <w:link w:val="a6"/>
    <w:uiPriority w:val="1"/>
    <w:qFormat/>
    <w:rsid w:val="00B80AB7"/>
    <w:pPr>
      <w:spacing w:after="0" w:line="240" w:lineRule="auto"/>
    </w:pPr>
  </w:style>
  <w:style w:type="character" w:customStyle="1" w:styleId="a8">
    <w:name w:val="Абзац списка Знак"/>
    <w:link w:val="a9"/>
    <w:uiPriority w:val="34"/>
    <w:locked/>
    <w:rsid w:val="00B80AB7"/>
    <w:rPr>
      <w:lang w:val="x-none"/>
    </w:rPr>
  </w:style>
  <w:style w:type="paragraph" w:styleId="a9">
    <w:name w:val="List Paragraph"/>
    <w:basedOn w:val="a"/>
    <w:link w:val="a8"/>
    <w:uiPriority w:val="34"/>
    <w:qFormat/>
    <w:rsid w:val="00B80AB7"/>
    <w:pPr>
      <w:ind w:left="720"/>
      <w:contextualSpacing/>
    </w:pPr>
    <w:rPr>
      <w:rFonts w:asciiTheme="minorHAnsi" w:eastAsiaTheme="minorHAnsi" w:hAnsiTheme="minorHAnsi" w:cstheme="minorBidi"/>
      <w:lang w:val="x-none"/>
    </w:rPr>
  </w:style>
  <w:style w:type="character" w:customStyle="1" w:styleId="aa">
    <w:name w:val="Основной текст_"/>
    <w:link w:val="1"/>
    <w:locked/>
    <w:rsid w:val="00B80AB7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a"/>
    <w:rsid w:val="00B80AB7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/>
      <w:spacing w:val="4"/>
    </w:rPr>
  </w:style>
  <w:style w:type="character" w:customStyle="1" w:styleId="chief-title">
    <w:name w:val="chief-title"/>
    <w:rsid w:val="00B80AB7"/>
  </w:style>
  <w:style w:type="character" w:customStyle="1" w:styleId="company-infotext">
    <w:name w:val="company-info__text"/>
    <w:rsid w:val="00B80AB7"/>
  </w:style>
  <w:style w:type="character" w:customStyle="1" w:styleId="extended-textshort">
    <w:name w:val="extended-text__short"/>
    <w:rsid w:val="00B80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1053</Words>
  <Characters>6007</Characters>
  <Application>Microsoft Office Word</Application>
  <DocSecurity>0</DocSecurity>
  <Lines>50</Lines>
  <Paragraphs>14</Paragraphs>
  <ScaleCrop>false</ScaleCrop>
  <Company/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Наталья Юрьевна</dc:creator>
  <cp:keywords/>
  <dc:description/>
  <cp:lastModifiedBy>Анисимова Наталья Юрьевна</cp:lastModifiedBy>
  <cp:revision>5</cp:revision>
  <dcterms:created xsi:type="dcterms:W3CDTF">2020-12-14T10:53:00Z</dcterms:created>
  <dcterms:modified xsi:type="dcterms:W3CDTF">2021-07-22T12:29:00Z</dcterms:modified>
</cp:coreProperties>
</file>