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DF" w:rsidRPr="001A04DF" w:rsidRDefault="001A04DF" w:rsidP="001A04DF">
      <w:pPr>
        <w:jc w:val="center"/>
        <w:rPr>
          <w:rFonts w:eastAsia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2051" type="#_x0000_t75" style="position:absolute;left:0;text-align:left;margin-left:205.8pt;margin-top:-25.5pt;width:55.5pt;height:57pt;z-index:251661312;visibility:visible;mso-wrap-style:square;mso-position-horizontal-relative:text;mso-position-vertical-relative:text">
            <v:imagedata r:id="rId9" o:title=""/>
            <w10:wrap type="square"/>
          </v:shape>
        </w:pict>
      </w:r>
    </w:p>
    <w:p w:rsidR="001A04DF" w:rsidRDefault="001A04DF" w:rsidP="001A04DF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1A04DF" w:rsidRDefault="001A04DF" w:rsidP="001A04DF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1A04DF" w:rsidRPr="001A04DF" w:rsidRDefault="001A04DF" w:rsidP="001A04DF">
      <w:pPr>
        <w:jc w:val="center"/>
        <w:rPr>
          <w:rFonts w:eastAsia="Times New Roman"/>
          <w:b/>
          <w:w w:val="150"/>
          <w:sz w:val="20"/>
          <w:szCs w:val="20"/>
        </w:rPr>
      </w:pPr>
      <w:r w:rsidRPr="001A04DF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1A04DF" w:rsidRPr="001A04DF" w:rsidRDefault="001A04DF" w:rsidP="001A04DF">
      <w:pPr>
        <w:jc w:val="center"/>
        <w:rPr>
          <w:rFonts w:eastAsia="Times New Roman"/>
          <w:b/>
          <w:w w:val="160"/>
          <w:sz w:val="36"/>
          <w:szCs w:val="20"/>
        </w:rPr>
      </w:pPr>
      <w:r w:rsidRPr="001A04DF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1A04DF" w:rsidRPr="001A04DF" w:rsidRDefault="001A04DF" w:rsidP="001A04DF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1A04DF" w:rsidRPr="001A04DF" w:rsidRDefault="001A04DF" w:rsidP="001A04DF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1A04DF" w:rsidRPr="001A04DF" w:rsidRDefault="001A04DF" w:rsidP="001A04DF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1A04DF" w:rsidRPr="001A04DF" w:rsidTr="001A04D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DF" w:rsidRPr="001A04DF" w:rsidRDefault="001A04DF" w:rsidP="001A04DF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10.03.2023</w:t>
            </w:r>
          </w:p>
        </w:tc>
        <w:tc>
          <w:tcPr>
            <w:tcW w:w="3322" w:type="dxa"/>
            <w:vAlign w:val="bottom"/>
            <w:hideMark/>
          </w:tcPr>
          <w:p w:rsidR="001A04DF" w:rsidRPr="001A04DF" w:rsidRDefault="001A04DF" w:rsidP="001A04DF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1A04DF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DF" w:rsidRPr="001A04DF" w:rsidRDefault="001A04DF" w:rsidP="001A04DF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658</w:t>
            </w:r>
          </w:p>
        </w:tc>
      </w:tr>
    </w:tbl>
    <w:p w:rsidR="001A04DF" w:rsidRPr="001A04DF" w:rsidRDefault="001A04DF" w:rsidP="001A04DF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1A04DF" w:rsidRPr="001A04DF" w:rsidRDefault="001A04DF" w:rsidP="001A04DF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1A04DF">
        <w:rPr>
          <w:rFonts w:eastAsia="Times New Roman"/>
          <w:sz w:val="28"/>
          <w:szCs w:val="28"/>
        </w:rPr>
        <w:t>г. Первоуральск</w:t>
      </w:r>
    </w:p>
    <w:p w:rsidR="0041338D" w:rsidRDefault="0041338D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41338D">
        <w:trPr>
          <w:trHeight w:val="553"/>
        </w:trPr>
        <w:tc>
          <w:tcPr>
            <w:tcW w:w="4283" w:type="dxa"/>
            <w:noWrap/>
          </w:tcPr>
          <w:p w:rsidR="0041338D" w:rsidRDefault="001A04DF">
            <w:pPr>
              <w:keepLines/>
              <w:adjustRightInd w:val="0"/>
              <w:snapToGrid w:val="0"/>
              <w:ind w:right="1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41338D" w:rsidRDefault="0041338D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41338D" w:rsidRDefault="0041338D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41338D" w:rsidRDefault="0041338D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41338D" w:rsidRDefault="0041338D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41338D">
        <w:tc>
          <w:tcPr>
            <w:tcW w:w="9495" w:type="dxa"/>
            <w:noWrap/>
          </w:tcPr>
          <w:p w:rsidR="0041338D" w:rsidRDefault="001A04DF">
            <w:pPr>
              <w:adjustRightInd w:val="0"/>
              <w:snapToGrid w:val="0"/>
              <w:ind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октября 2003 года № 131-</w:t>
            </w:r>
            <w:r>
              <w:rPr>
                <w:rFonts w:ascii="Liberation Serif" w:hAnsi="Liberation Serif"/>
                <w:color w:val="000000"/>
              </w:rPr>
              <w:t xml:space="preserve">ФЗ «Об общих принципах организации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акционерного общества «ГАЗЭКС» (ИНН/КПП 6612001379/661201001, ОГРН 1036600620440, юридический адрес: Свердловская область, город Каменск-Уральский, 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                      </w:t>
            </w:r>
            <w:r>
              <w:rPr>
                <w:rFonts w:ascii="Liberation Serif" w:hAnsi="Liberation Serif" w:cs="Liberation Serif"/>
              </w:rPr>
              <w:t xml:space="preserve">улица Мусоргского, дом 4), </w:t>
            </w:r>
            <w:r>
              <w:rPr>
                <w:rFonts w:ascii="Liberation Serif" w:hAnsi="Liberation Serif" w:cs="Liberation Serif"/>
              </w:rPr>
              <w:t>договор</w:t>
            </w:r>
            <w:r>
              <w:rPr>
                <w:rFonts w:ascii="Liberation Serif" w:hAnsi="Liberation Serif" w:cs="Liberation Serif"/>
              </w:rPr>
              <w:t xml:space="preserve"> о подключении (технологическом присоединении) газоиспользующего оборудования к сети газораспределения в рамках догазификации      № 6549-3/66-01-0024839/2022 от 11 апреля 2022 года,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</w:t>
            </w:r>
            <w:r>
              <w:rPr>
                <w:rFonts w:ascii="Liberation Serif" w:hAnsi="Liberation Serif" w:cs="Liberation Serif"/>
              </w:rPr>
              <w:t xml:space="preserve">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41338D" w:rsidRDefault="0041338D">
      <w:pPr>
        <w:jc w:val="both"/>
        <w:rPr>
          <w:rFonts w:ascii="Liberation Serif" w:hAnsi="Liberation Serif" w:cs="Liberation Serif"/>
        </w:rPr>
      </w:pPr>
    </w:p>
    <w:p w:rsidR="0041338D" w:rsidRDefault="0041338D">
      <w:pPr>
        <w:jc w:val="both"/>
        <w:rPr>
          <w:rFonts w:ascii="Liberation Serif" w:hAnsi="Liberation Serif" w:cs="Liberation Serif"/>
        </w:rPr>
      </w:pPr>
    </w:p>
    <w:p w:rsidR="0041338D" w:rsidRDefault="001A04DF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41338D">
        <w:tc>
          <w:tcPr>
            <w:tcW w:w="9495" w:type="dxa"/>
            <w:gridSpan w:val="2"/>
            <w:noWrap/>
          </w:tcPr>
          <w:p w:rsidR="0041338D" w:rsidRDefault="001A04DF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акционерного общества «ГАЗЭКС» публичный сервитут в отношении части земельного участка с кадастровым номером 66:58:0106001:5160 площадью 99 кв. метров, расположенного </w:t>
            </w:r>
            <w:r>
              <w:rPr>
                <w:rFonts w:ascii="Liberation Serif" w:hAnsi="Liberation Serif" w:cs="Liberation Serif"/>
              </w:rPr>
              <w:t>по адресу:             Свердловская область, город Первоуральск, улица Вайнера, 47-А, в целях размещения линейного объекта системы газоснабжения, необходимого для подключения (технологического присоединения) к сетям инженерно-технического обеспечения объек</w:t>
            </w:r>
            <w:r>
              <w:rPr>
                <w:rFonts w:ascii="Liberation Serif" w:hAnsi="Liberation Serif" w:cs="Liberation Serif"/>
              </w:rPr>
              <w:t>тов капитального строительства, расположенных по адресу: Свердловская область, город Первоуральск, улица Пугачева, дома 77, 79, 81, сроком на 10 лет.</w:t>
            </w:r>
          </w:p>
          <w:p w:rsidR="0041338D" w:rsidRDefault="001A04DF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Утвердить границы публичного сервитута, согласно схеме расположения границ публичного сервитута </w:t>
            </w:r>
            <w:r>
              <w:rPr>
                <w:rFonts w:ascii="Liberation Serif" w:hAnsi="Liberation Serif" w:cs="Liberation Serif"/>
              </w:rPr>
              <w:t>(Приложение).</w:t>
            </w:r>
          </w:p>
          <w:p w:rsidR="0041338D" w:rsidRDefault="001A04DF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Срок, в течении которого использование части земельного участка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</w:t>
            </w:r>
            <w:r>
              <w:rPr>
                <w:rFonts w:ascii="Liberation Serif" w:hAnsi="Liberation Serif" w:cs="Liberation Serif"/>
              </w:rPr>
              <w:t>рвитута - 2 месяца.</w:t>
            </w:r>
          </w:p>
          <w:p w:rsidR="0041338D" w:rsidRDefault="001A04DF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Порядок установления зон с особыми условиями использования территории и содержание ограничений прав на земельные участки в границах таких зон осуществляется в соответствии с </w:t>
            </w:r>
            <w:r>
              <w:rPr>
                <w:rFonts w:ascii="Liberation Serif" w:hAnsi="Liberation Serif" w:cs="Liberation Serif"/>
              </w:rPr>
              <w:t>Постановлением Правительства Российской Федерации от 20 ноября</w:t>
            </w:r>
            <w:r>
              <w:rPr>
                <w:rFonts w:ascii="Liberation Serif" w:hAnsi="Liberation Serif" w:cs="Liberation Serif"/>
              </w:rPr>
              <w:t xml:space="preserve"> 2000 года № 878 «Об утверждении Правил охраны газораспределительных сетей»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41338D" w:rsidRDefault="001A04DF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Обязать акционерное общество «ГАЗЭКС» привести земельный участок в состояние, пригодное для использования в соответствии с видом разрешенного использования, в срок не позднее чем </w:t>
            </w:r>
            <w:r>
              <w:rPr>
                <w:rFonts w:ascii="Liberation Serif" w:hAnsi="Liberation Serif" w:cs="Liberation Serif"/>
              </w:rPr>
              <w:t xml:space="preserve">три месяца после завершения строительства </w:t>
            </w:r>
            <w:r>
              <w:rPr>
                <w:rFonts w:ascii="Liberation Serif" w:hAnsi="Liberation Serif" w:cs="Liberation Serif"/>
              </w:rPr>
              <w:lastRenderedPageBreak/>
              <w:t>инженерного сооружения, для размещения которого был установлен публичный сервитут.</w:t>
            </w:r>
          </w:p>
          <w:p w:rsidR="0041338D" w:rsidRDefault="001A04DF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Публичный сервитут считается установленным со дня внесения сведений о нем в Единый государственный реестр недвижимости.</w:t>
            </w:r>
          </w:p>
          <w:p w:rsidR="0041338D" w:rsidRDefault="001A04DF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</w:t>
            </w:r>
            <w:r>
              <w:rPr>
                <w:rFonts w:ascii="Liberation Serif" w:hAnsi="Liberation Serif" w:cs="Liberation Serif"/>
              </w:rPr>
              <w:t>остановление разместить на официальном сайте городского округа Первоуральск в сети «Интернет».</w:t>
            </w:r>
          </w:p>
        </w:tc>
      </w:tr>
      <w:tr w:rsidR="0041338D">
        <w:trPr>
          <w:trHeight w:val="1372"/>
        </w:trPr>
        <w:tc>
          <w:tcPr>
            <w:tcW w:w="5070" w:type="dxa"/>
            <w:noWrap/>
          </w:tcPr>
          <w:p w:rsidR="0041338D" w:rsidRDefault="0041338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1338D" w:rsidRDefault="0041338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1338D" w:rsidRDefault="0041338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1338D" w:rsidRDefault="0041338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1338D" w:rsidRDefault="001A04DF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noWrap/>
          </w:tcPr>
          <w:p w:rsidR="0041338D" w:rsidRDefault="0041338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1338D" w:rsidRDefault="0041338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1338D" w:rsidRDefault="0041338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1338D" w:rsidRDefault="0041338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1338D" w:rsidRDefault="001A04DF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41338D" w:rsidRDefault="001A04D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0" w:name="_GoBack"/>
      <w:bookmarkEnd w:id="0"/>
    </w:p>
    <w:sectPr w:rsidR="0041338D" w:rsidSect="001A04DF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851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04DF">
      <w:r>
        <w:separator/>
      </w:r>
    </w:p>
  </w:endnote>
  <w:endnote w:type="continuationSeparator" w:id="0">
    <w:p w:rsidR="00000000" w:rsidRDefault="001A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8D" w:rsidRDefault="001A04DF">
    <w:pPr>
      <w:pStyle w:val="a6"/>
      <w:framePr w:wrap="around" w:hAnchor="text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41338D" w:rsidRDefault="0041338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04DF">
      <w:r>
        <w:separator/>
      </w:r>
    </w:p>
  </w:footnote>
  <w:footnote w:type="continuationSeparator" w:id="0">
    <w:p w:rsidR="00000000" w:rsidRDefault="001A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8D" w:rsidRDefault="001A04DF">
    <w:pPr>
      <w:pStyle w:val="a5"/>
      <w:framePr w:wrap="around" w:hAnchor="text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41338D" w:rsidRDefault="0041338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8D" w:rsidRDefault="001A04DF">
    <w:pPr>
      <w:pStyle w:val="a5"/>
      <w:rPr>
        <w:rStyle w:val="ac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41338D" w:rsidRDefault="001A04DF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8D" w:rsidRDefault="001A04DF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41338D" w:rsidRDefault="001A04DF">
                <w:pPr>
                  <w:pStyle w:val="a5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04DF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338D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2736455"/>
    <w:rsid w:val="038113A1"/>
    <w:rsid w:val="038D1D46"/>
    <w:rsid w:val="03FE65B2"/>
    <w:rsid w:val="057E7581"/>
    <w:rsid w:val="060549F0"/>
    <w:rsid w:val="070D3C38"/>
    <w:rsid w:val="081C2426"/>
    <w:rsid w:val="0830469D"/>
    <w:rsid w:val="0D6D5AB8"/>
    <w:rsid w:val="0DE7531B"/>
    <w:rsid w:val="0E4506DF"/>
    <w:rsid w:val="0E8506F3"/>
    <w:rsid w:val="0F2D3C37"/>
    <w:rsid w:val="14CB6E32"/>
    <w:rsid w:val="15FC5198"/>
    <w:rsid w:val="16CC0BC0"/>
    <w:rsid w:val="17570732"/>
    <w:rsid w:val="19326FE2"/>
    <w:rsid w:val="1CB75BFF"/>
    <w:rsid w:val="1E0A592B"/>
    <w:rsid w:val="1E8B5E19"/>
    <w:rsid w:val="1F9C0FD8"/>
    <w:rsid w:val="1FB10BB7"/>
    <w:rsid w:val="21D540AB"/>
    <w:rsid w:val="220263E1"/>
    <w:rsid w:val="27C67B3A"/>
    <w:rsid w:val="27D65EAF"/>
    <w:rsid w:val="2A757331"/>
    <w:rsid w:val="2DFE544B"/>
    <w:rsid w:val="328867EA"/>
    <w:rsid w:val="36F10CEA"/>
    <w:rsid w:val="37465C69"/>
    <w:rsid w:val="39745827"/>
    <w:rsid w:val="3DB456A5"/>
    <w:rsid w:val="3DC63FAB"/>
    <w:rsid w:val="3DDD5224"/>
    <w:rsid w:val="3EF82023"/>
    <w:rsid w:val="400E4984"/>
    <w:rsid w:val="401A57C9"/>
    <w:rsid w:val="40950F56"/>
    <w:rsid w:val="48CA4C00"/>
    <w:rsid w:val="4A41011A"/>
    <w:rsid w:val="4BA74249"/>
    <w:rsid w:val="4BA879F9"/>
    <w:rsid w:val="4D58066C"/>
    <w:rsid w:val="4D937181"/>
    <w:rsid w:val="512C2B84"/>
    <w:rsid w:val="525D1C26"/>
    <w:rsid w:val="57B03B16"/>
    <w:rsid w:val="5828742C"/>
    <w:rsid w:val="58662884"/>
    <w:rsid w:val="593B1BE0"/>
    <w:rsid w:val="5A934162"/>
    <w:rsid w:val="5EC212BB"/>
    <w:rsid w:val="645C0E1F"/>
    <w:rsid w:val="652013F7"/>
    <w:rsid w:val="67CB5329"/>
    <w:rsid w:val="6901508B"/>
    <w:rsid w:val="69B3462E"/>
    <w:rsid w:val="6A3502CD"/>
    <w:rsid w:val="6C346F85"/>
    <w:rsid w:val="6C425BAF"/>
    <w:rsid w:val="6CC23C05"/>
    <w:rsid w:val="6E272778"/>
    <w:rsid w:val="6F2C7706"/>
    <w:rsid w:val="758041E2"/>
    <w:rsid w:val="75CA0426"/>
    <w:rsid w:val="75D96C53"/>
    <w:rsid w:val="76E53553"/>
    <w:rsid w:val="780E30E0"/>
    <w:rsid w:val="78A41433"/>
    <w:rsid w:val="790569B0"/>
    <w:rsid w:val="7AE15A30"/>
    <w:rsid w:val="7D4C3C76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Subtitle"/>
    <w:basedOn w:val="a"/>
    <w:link w:val="a9"/>
    <w:qFormat/>
    <w:pPr>
      <w:jc w:val="center"/>
    </w:pPr>
    <w:rPr>
      <w:b/>
      <w:sz w:val="28"/>
      <w:szCs w:val="20"/>
    </w:rPr>
  </w:style>
  <w:style w:type="character" w:styleId="aa">
    <w:name w:val="Emphasis"/>
    <w:qFormat/>
    <w:rPr>
      <w:sz w:val="28"/>
      <w:szCs w:val="28"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page number"/>
    <w:basedOn w:val="a0"/>
    <w:qFormat/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sz w:val="24"/>
      <w:szCs w:val="24"/>
    </w:rPr>
  </w:style>
  <w:style w:type="character" w:customStyle="1" w:styleId="a9">
    <w:name w:val="Подзаголовок Знак"/>
    <w:link w:val="a8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441</Words>
  <Characters>2519</Characters>
  <Application>Microsoft Office Word</Application>
  <DocSecurity>0</DocSecurity>
  <Lines>20</Lines>
  <Paragraphs>5</Paragraphs>
  <ScaleCrop>false</ScaleCrop>
  <Company>Kontora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2023-02-15T09:01:00Z</cp:lastPrinted>
  <dcterms:created xsi:type="dcterms:W3CDTF">2019-11-27T06:42:00Z</dcterms:created>
  <dcterms:modified xsi:type="dcterms:W3CDTF">2023-03-10T09:33:00Z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  <property fmtid="{D5CDD505-2E9C-101B-9397-08002B2CF9AE}" pid="3" name="ICV">
    <vt:lpwstr>992A315E74E2443DB1A568889739630B</vt:lpwstr>
  </property>
</Properties>
</file>