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26" w:rsidRPr="008F6C26" w:rsidRDefault="008F6C26" w:rsidP="008F6C26">
      <w:pPr>
        <w:jc w:val="center"/>
        <w:rPr>
          <w:rFonts w:eastAsia="Times New Roman"/>
        </w:rPr>
      </w:pPr>
      <w:r w:rsidRPr="008F6C2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9" o:title=""/>
          </v:shape>
        </w:pict>
      </w:r>
    </w:p>
    <w:p w:rsidR="008F6C26" w:rsidRPr="008F6C26" w:rsidRDefault="008F6C26" w:rsidP="008F6C26">
      <w:pPr>
        <w:jc w:val="center"/>
        <w:rPr>
          <w:rFonts w:eastAsia="Times New Roman"/>
          <w:b/>
          <w:w w:val="150"/>
          <w:sz w:val="20"/>
          <w:szCs w:val="20"/>
        </w:rPr>
      </w:pPr>
      <w:r w:rsidRPr="008F6C26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8F6C26" w:rsidRPr="008F6C26" w:rsidRDefault="008F6C26" w:rsidP="008F6C26">
      <w:pPr>
        <w:jc w:val="center"/>
        <w:rPr>
          <w:rFonts w:eastAsia="Times New Roman"/>
          <w:b/>
          <w:w w:val="160"/>
          <w:sz w:val="36"/>
          <w:szCs w:val="20"/>
        </w:rPr>
      </w:pPr>
      <w:r w:rsidRPr="008F6C2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8F6C26" w:rsidRPr="008F6C26" w:rsidRDefault="008F6C26" w:rsidP="008F6C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F6C26" w:rsidRPr="008F6C26" w:rsidRDefault="008F6C26" w:rsidP="008F6C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F6C26" w:rsidRPr="008F6C26" w:rsidRDefault="008F6C26" w:rsidP="008F6C2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F6C26" w:rsidRPr="008F6C26" w:rsidTr="008F6C2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C26" w:rsidRPr="008F6C26" w:rsidRDefault="008F6C26" w:rsidP="008F6C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19.07.2024</w:t>
            </w:r>
            <w:bookmarkStart w:id="0" w:name="_GoBack"/>
            <w:bookmarkEnd w:id="0"/>
          </w:p>
        </w:tc>
        <w:tc>
          <w:tcPr>
            <w:tcW w:w="3322" w:type="dxa"/>
            <w:vAlign w:val="bottom"/>
            <w:hideMark/>
          </w:tcPr>
          <w:p w:rsidR="008F6C26" w:rsidRPr="008F6C26" w:rsidRDefault="008F6C26" w:rsidP="008F6C2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8F6C2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6C26" w:rsidRPr="008F6C26" w:rsidRDefault="008F6C26" w:rsidP="008F6C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1824</w:t>
            </w:r>
          </w:p>
        </w:tc>
      </w:tr>
    </w:tbl>
    <w:p w:rsidR="008F6C26" w:rsidRPr="008F6C26" w:rsidRDefault="008F6C26" w:rsidP="008F6C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8F6C26" w:rsidRPr="008F6C26" w:rsidRDefault="008F6C26" w:rsidP="008F6C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8F6C26">
        <w:rPr>
          <w:rFonts w:eastAsia="Times New Roman"/>
          <w:sz w:val="28"/>
          <w:szCs w:val="28"/>
        </w:rPr>
        <w:t>г. Первоуральск</w:t>
      </w:r>
    </w:p>
    <w:p w:rsidR="000F2C8B" w:rsidRDefault="000F2C8B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0F2C8B">
        <w:trPr>
          <w:trHeight w:val="553"/>
        </w:trPr>
        <w:tc>
          <w:tcPr>
            <w:tcW w:w="4283" w:type="dxa"/>
            <w:noWrap/>
          </w:tcPr>
          <w:p w:rsidR="000F2C8B" w:rsidRDefault="008F6C2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0F2C8B" w:rsidRDefault="000F2C8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F2C8B" w:rsidRDefault="000F2C8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F2C8B" w:rsidRDefault="000F2C8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0F2C8B" w:rsidRDefault="000F2C8B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0F2C8B">
        <w:tc>
          <w:tcPr>
            <w:tcW w:w="9495" w:type="dxa"/>
            <w:noWrap/>
          </w:tcPr>
          <w:p w:rsidR="000F2C8B" w:rsidRDefault="008F6C2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0F2C8B" w:rsidRDefault="000F2C8B">
      <w:pPr>
        <w:jc w:val="both"/>
        <w:rPr>
          <w:rFonts w:ascii="Liberation Serif" w:hAnsi="Liberation Serif" w:cs="Liberation Serif"/>
        </w:rPr>
      </w:pPr>
    </w:p>
    <w:p w:rsidR="000F2C8B" w:rsidRDefault="000F2C8B">
      <w:pPr>
        <w:jc w:val="both"/>
        <w:rPr>
          <w:rFonts w:ascii="Liberation Serif" w:hAnsi="Liberation Serif" w:cs="Liberation Serif"/>
        </w:rPr>
      </w:pPr>
    </w:p>
    <w:p w:rsidR="000F2C8B" w:rsidRDefault="008F6C2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0F2C8B">
        <w:trPr>
          <w:trHeight w:val="1158"/>
        </w:trPr>
        <w:tc>
          <w:tcPr>
            <w:tcW w:w="9495" w:type="dxa"/>
            <w:gridSpan w:val="2"/>
            <w:noWrap/>
          </w:tcPr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66:58:0113004:48, площадью 190 кв. метров, расположенного по адресу:       Свердловская область, город Первоуральск, проспект Космонавтов, 3Б, в целях эксплуатации существующего</w:t>
            </w:r>
            <w:r>
              <w:rPr>
                <w:rFonts w:ascii="Liberation Serif" w:hAnsi="Liberation Serif" w:cs="Liberation Serif"/>
              </w:rPr>
              <w:t xml:space="preserve"> здания теплового пункта с кадастровым номером 66:58:0114001:371, являющегося неотъемлемой технологической частью тепловой     сети с кадастровым номером 66:58:0000000:12795, необходимой для организации теплоснабжения населения, сроком до 31 декабря 2046 г</w:t>
            </w:r>
            <w:r>
              <w:rPr>
                <w:rFonts w:ascii="Liberation Serif" w:hAnsi="Liberation Serif" w:cs="Liberation Serif"/>
              </w:rPr>
              <w:t>ода.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части земельного участка и (или) расположенного на ней объекта недвижимого имущества в соответствии с </w:t>
            </w:r>
            <w:r>
              <w:rPr>
                <w:rFonts w:ascii="Liberation Serif" w:hAnsi="Liberation Serif" w:cs="Liberation Serif"/>
              </w:rPr>
              <w:t>их 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</w:t>
            </w:r>
            <w:r>
              <w:rPr>
                <w:rFonts w:ascii="Liberation Serif" w:hAnsi="Liberation Serif" w:cs="Liberation Serif"/>
              </w:rPr>
              <w:t xml:space="preserve"> с 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</w:t>
            </w:r>
            <w:r>
              <w:rPr>
                <w:rFonts w:ascii="Liberation Serif" w:hAnsi="Liberation Serif" w:cs="Liberation Serif"/>
              </w:rPr>
              <w:t>арственный реестр недвижимости.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6141-к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0113004:48,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площадью </w:t>
            </w:r>
            <w:r>
              <w:rPr>
                <w:rFonts w:ascii="Liberation Serif" w:hAnsi="Liberation Serif"/>
              </w:rPr>
              <w:t>422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Свердловская область, город Первоуральск, </w:t>
            </w:r>
            <w:r>
              <w:rPr>
                <w:rFonts w:ascii="Liberation Serif" w:hAnsi="Liberation Serif"/>
              </w:rPr>
              <w:t>проспект</w:t>
            </w:r>
            <w:r>
              <w:rPr>
                <w:rFonts w:ascii="Liberation Serif" w:hAnsi="Liberation Serif"/>
              </w:rPr>
              <w:t xml:space="preserve"> Космонавтов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3Б,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деятельности</w:t>
            </w:r>
            <w:r>
              <w:rPr>
                <w:rFonts w:ascii="Liberation Serif" w:hAnsi="Liberation Serif"/>
              </w:rPr>
              <w:t xml:space="preserve"> (ка</w:t>
            </w:r>
            <w:r>
              <w:rPr>
                <w:rFonts w:ascii="Liberation Serif" w:hAnsi="Liberation Serif"/>
              </w:rPr>
              <w:t>тегория земель – земли населённых пунктов).</w:t>
            </w:r>
          </w:p>
          <w:p w:rsidR="000F2C8B" w:rsidRDefault="008F6C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0F2C8B">
        <w:trPr>
          <w:trHeight w:val="1372"/>
        </w:trPr>
        <w:tc>
          <w:tcPr>
            <w:tcW w:w="5070" w:type="dxa"/>
            <w:noWrap/>
          </w:tcPr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8F6C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0F2C8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0F2C8B" w:rsidRDefault="008F6C2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0F2C8B" w:rsidRDefault="008F6C2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0F2C8B" w:rsidSect="008F6C2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6C26">
      <w:r>
        <w:separator/>
      </w:r>
    </w:p>
  </w:endnote>
  <w:endnote w:type="continuationSeparator" w:id="0">
    <w:p w:rsidR="00000000" w:rsidRDefault="008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B" w:rsidRDefault="008F6C26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F2C8B" w:rsidRDefault="000F2C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6C26">
      <w:r>
        <w:separator/>
      </w:r>
    </w:p>
  </w:footnote>
  <w:footnote w:type="continuationSeparator" w:id="0">
    <w:p w:rsidR="00000000" w:rsidRDefault="008F6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B" w:rsidRDefault="008F6C26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0F2C8B" w:rsidRDefault="000F2C8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B" w:rsidRDefault="008F6C26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0F2C8B" w:rsidRDefault="008F6C2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8B" w:rsidRDefault="008F6C2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0F2C8B" w:rsidRDefault="008F6C26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C8B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6C26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6294185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A54EC9"/>
    <w:rsid w:val="15FC5198"/>
    <w:rsid w:val="16CC0BC0"/>
    <w:rsid w:val="17570732"/>
    <w:rsid w:val="19326FE2"/>
    <w:rsid w:val="1BE51BB2"/>
    <w:rsid w:val="1CB75BFF"/>
    <w:rsid w:val="1E0A592B"/>
    <w:rsid w:val="1E8B5E19"/>
    <w:rsid w:val="1F02135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2443C52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A934162"/>
    <w:rsid w:val="5B931A89"/>
    <w:rsid w:val="5EC212BB"/>
    <w:rsid w:val="5EE558CF"/>
    <w:rsid w:val="645C0E1F"/>
    <w:rsid w:val="652013F7"/>
    <w:rsid w:val="660E1EC2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B515A5B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479</Words>
  <Characters>2735</Characters>
  <Application>Microsoft Office Word</Application>
  <DocSecurity>0</DocSecurity>
  <Lines>22</Lines>
  <Paragraphs>6</Paragraphs>
  <ScaleCrop>false</ScaleCrop>
  <Company>Kontora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2024-07-23T03:41:00Z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