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A5892" w14:textId="77777777" w:rsidR="00B606F5" w:rsidRDefault="001F1499" w:rsidP="00B606F5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</w:t>
      </w:r>
      <w:r w:rsidR="00A554E7">
        <w:rPr>
          <w:rFonts w:ascii="Liberation Serif" w:hAnsi="Liberation Serif"/>
          <w:b w:val="0"/>
          <w:sz w:val="24"/>
          <w:szCs w:val="24"/>
        </w:rPr>
        <w:t xml:space="preserve"> </w:t>
      </w:r>
      <w:r w:rsidR="00246AA6">
        <w:rPr>
          <w:rFonts w:ascii="Liberation Serif" w:hAnsi="Liberation Serif"/>
          <w:b w:val="0"/>
          <w:sz w:val="24"/>
          <w:szCs w:val="24"/>
        </w:rPr>
        <w:t>Приложение 2</w:t>
      </w:r>
    </w:p>
    <w:p w14:paraId="2F84906A" w14:textId="77777777" w:rsidR="00B606F5" w:rsidRPr="00B606F5" w:rsidRDefault="001F1499" w:rsidP="00B606F5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>к постановлению Администрации</w:t>
      </w:r>
    </w:p>
    <w:p w14:paraId="0BA4EEE7" w14:textId="77777777" w:rsidR="00B606F5" w:rsidRPr="00B606F5" w:rsidRDefault="001F1499" w:rsidP="00B606F5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>городского округа Первоуральск</w:t>
      </w:r>
    </w:p>
    <w:p w14:paraId="516DD6D4" w14:textId="3C172770" w:rsidR="00E138C0" w:rsidRDefault="001F1499" w:rsidP="00B606F5">
      <w:pPr>
        <w:pStyle w:val="ConsPlusTitle"/>
        <w:ind w:left="5103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5214A2">
        <w:rPr>
          <w:rFonts w:ascii="Liberation Serif" w:hAnsi="Liberation Serif"/>
          <w:b w:val="0"/>
          <w:sz w:val="24"/>
          <w:szCs w:val="24"/>
        </w:rPr>
        <w:t>05.08.2024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 № </w:t>
      </w:r>
      <w:r w:rsidR="005214A2">
        <w:rPr>
          <w:rFonts w:ascii="Liberation Serif" w:hAnsi="Liberation Serif"/>
          <w:b w:val="0"/>
          <w:sz w:val="24"/>
          <w:szCs w:val="24"/>
        </w:rPr>
        <w:t>1987</w:t>
      </w:r>
      <w:bookmarkStart w:id="0" w:name="_GoBack"/>
      <w:bookmarkEnd w:id="0"/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 </w:t>
      </w:r>
      <w:r w:rsidR="00E138C0">
        <w:rPr>
          <w:rFonts w:ascii="Liberation Serif" w:hAnsi="Liberation Serif"/>
          <w:b w:val="0"/>
          <w:sz w:val="24"/>
          <w:szCs w:val="24"/>
        </w:rPr>
        <w:tab/>
      </w:r>
    </w:p>
    <w:p w14:paraId="7DD764B8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4B3FE1A7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6CC0926A" w14:textId="77777777" w:rsidR="00B24F70" w:rsidRPr="000146AF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5B566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Раздел 1.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D1C9F"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«</w:t>
      </w:r>
      <w:r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ХАРАКТЕРИСТИКА ПРОБЛЕМ,</w:t>
      </w:r>
    </w:p>
    <w:p w14:paraId="32BDE90A" w14:textId="77777777" w:rsidR="00D5294F" w:rsidRPr="000146AF" w:rsidRDefault="00B24F70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НА РЕШЕНИЕ КОТОРЫХ НАПРАВЛЕНА </w:t>
      </w:r>
      <w:r w:rsidR="00E138C0" w:rsidRPr="000146AF">
        <w:rPr>
          <w:rFonts w:ascii="Liberation Serif" w:hAnsi="Liberation Serif" w:cs="Times New Roman"/>
          <w:b/>
          <w:sz w:val="24"/>
          <w:szCs w:val="24"/>
        </w:rPr>
        <w:t>МУНИЦИПАЛЬНАЯ ПРОГРАММА</w:t>
      </w:r>
    </w:p>
    <w:p w14:paraId="3AA1FA47" w14:textId="77777777" w:rsidR="000F015A" w:rsidRPr="000146AF" w:rsidRDefault="000F015A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>«РАЗВИТИЕ МАЛОГО И СРЕДНЕГО ПРЕДПРИНИМАТЕЛЬСТВА, ВНУТРЕННЕГО И ВЪЕЗДНОГО ТУРИЗМА НА ТЕРРИТОРИИ ГОРОДСКОГО ОКРУГА ПЕРВОУРАЛЬСК НА 2022-2027 ГОДЫ»</w:t>
      </w:r>
    </w:p>
    <w:p w14:paraId="730B40DE" w14:textId="77777777" w:rsidR="00D5294F" w:rsidRPr="00D5294F" w:rsidRDefault="00D5294F" w:rsidP="00D5294F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C48501" w14:textId="4A6ED9F3" w:rsidR="00B24F70" w:rsidRDefault="00B24F70" w:rsidP="00840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«</w:t>
      </w:r>
      <w:r w:rsidR="00F15440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азвитие малого и среднего предпринимательства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внутреннего и въездного туризма на территории городского округа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2022 - 2027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разработана в соответствии с Федеральным законом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июля 2007 года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209-ФЗ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тельства в Российской Федерации»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 законом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ноября 1996 года № 132-ФЗ 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«Об основах туристской деятельности в Российской Федерации»,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 Свердловской области от 04 февраля 2008 года 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10-ОЗ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предпринимательства в Свердл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овской области», 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Свердловской области от 31 декабря 1999 года № 51- ОЗ «О туризме и туристской деятельности в Свердловской области»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государственной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программы Свердловской области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Повышение инвестиционной привлекательности Свердловской области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Правительства Свердловской области от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26 октября 2023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787-ПП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Стратегией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развития внутреннего и въездного туризма в Свердловской области до 2030 года, </w:t>
      </w:r>
      <w:r w:rsidR="0063595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Указом Губернатор</w:t>
      </w:r>
      <w:r w:rsidR="0018103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Свердловской области от 13 февраля 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2015</w:t>
      </w:r>
      <w:r w:rsidR="001423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70-УГ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постановлением Администрации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15 июня 2018 года №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1122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утверждении порядка разработки, реализации и оценки эффективности муниципальных программ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3B2F30AF" w14:textId="77777777" w:rsidR="00E31739" w:rsidRPr="00B24F70" w:rsidRDefault="00E31739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C6B81B1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МАЛОГО И СРЕДНЕГО ПРЕДПРИНИМАТЕЛЬСТВА</w:t>
      </w:r>
    </w:p>
    <w:p w14:paraId="635B2E27" w14:textId="77777777" w:rsidR="00007268" w:rsidRPr="00B24F70" w:rsidRDefault="00007268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C06799E" w14:textId="77777777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ородской округ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– городской округ) признан моногородом. В структуре экономики преобладающим является металлургическое производство, в котором занята основная часть экономически активного населения. </w:t>
      </w:r>
    </w:p>
    <w:p w14:paraId="5F746801" w14:textId="77777777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связи с процессами оптимизации производства на градообразующих предприятиях, роль малого и среднего предпринимательства в экономике городского округа увеличивается. Высвобождение значительной численности работников требует активного создания новых предприятий и организации новых производств, освоения новых видов продукции и экономических ниш.</w:t>
      </w:r>
    </w:p>
    <w:p w14:paraId="0FC6E4C1" w14:textId="77777777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Малый бизнес – это, прежде всего, создание новых рабочих мест, пополнение бюджетов, а развитие малого предпринимательства – это рост числа людей, самостоятельно обеспечивающих достойный уровень жизни для себя и своих семей.</w:t>
      </w:r>
    </w:p>
    <w:p w14:paraId="5C42734A" w14:textId="77777777" w:rsidR="00B240B9" w:rsidRPr="00AA30D9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Действительно, в этом секторе экономики создаются новые рабочие места, новые виды 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востребованной на рынке продукции, осваиваются незанятые экономические ниши.</w:t>
      </w:r>
    </w:p>
    <w:p w14:paraId="7C4DBA0B" w14:textId="4AA24B7A" w:rsidR="00B24F70" w:rsidRPr="00AA30D9" w:rsidRDefault="00B24F70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CCFFFF"/>
          <w:sz w:val="24"/>
          <w:szCs w:val="24"/>
          <w:lang w:eastAsia="ru-RU"/>
        </w:rPr>
      </w:pP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01 июля 2024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 Едином реестре субъектов малого и среднего предпринимательства, который </w:t>
      </w:r>
      <w:r w:rsidR="0063595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Федеральная налоговая служба России, зарегистрировано </w:t>
      </w:r>
      <w:r w:rsidR="007164B0"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5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>307</w:t>
      </w:r>
      <w:r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 субъектов</w:t>
      </w:r>
      <w:r w:rsidR="005F0D63" w:rsidRPr="00AA30D9">
        <w:rPr>
          <w:rFonts w:ascii="Liberation Serif" w:eastAsia="Times New Roman" w:hAnsi="Liberation Serif" w:cs="Arial"/>
          <w:sz w:val="24"/>
          <w:szCs w:val="24"/>
          <w:shd w:val="clear" w:color="auto" w:fill="FFFFFF"/>
          <w:lang w:eastAsia="ru-RU"/>
        </w:rPr>
        <w:t xml:space="preserve"> МСП.</w:t>
      </w:r>
    </w:p>
    <w:p w14:paraId="4CE721DF" w14:textId="118AE3D1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Среднесписочная численность работников субъектов малого и среднего предпринимательства (без вне</w:t>
      </w:r>
      <w:r w:rsidR="003741C5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шних совместителей) на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01 июля 2024 года</w:t>
      </w:r>
      <w:r w:rsidR="00514A0D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составила               </w:t>
      </w:r>
      <w:r w:rsidR="004D5036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</w:t>
      </w:r>
      <w:r w:rsidR="00514A0D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</w:t>
      </w:r>
      <w:r w:rsidR="003E4CF8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29 740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D5036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человек.</w:t>
      </w:r>
    </w:p>
    <w:p w14:paraId="5A0B34D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ряде отраслей экономики области (оптовая торговля, бытовое обслуживание) малый бизнес является доминирующим, обеспечивая свыше двух третей от общего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товаров и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услуг. Туристско-экскурсионные, фотографические услуги, ремонт жилья, ремонт и изготовление мебели, одежды и обуви и ряд других услуг в основном предоставляются населению субъектами малого предпринимательства.</w:t>
      </w:r>
    </w:p>
    <w:p w14:paraId="7AF5F05E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то же время незначительна роль малого бизнеса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производства промышленной и сельскохозяйственной продукции,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 пассажирского транспорта, связи, жилищно-коммунального хозяйства.</w:t>
      </w:r>
    </w:p>
    <w:p w14:paraId="48133A1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целом развитие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14:paraId="24A751A7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Решением Первоуральской городской Думы от 31 марта 2016 года № 425 был создан Первоуральский фонд поддержки предпринимательства (далее - Фонд), который на территории городского округа осуществляет деятельность, направленную на поддержку и развитие малого и среднего предпринимательства городского округа. Сегодня Фонд занимается информационным обслуживанием и консультационной поддержкой субъектов малого и среднего предпринимательства, организацией и проведением семинаров, тренингов, круглых столов, конференций, выставок, ярмарок, содействием деловым контактам и совместным проектам в форме информационных, консультационных, посреднических, представительских и агентских услуг для субъектов малого и среднего предпринимательства, содействием в организации мероприятий по подготовке и переподготовке кадров малого и среднего предпринимательства, предоставлением финансовой поддержки субъектам малого и среднего предпринимательства и др.</w:t>
      </w:r>
    </w:p>
    <w:p w14:paraId="41F44557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Основными проблемами, ограничивающими развитие малого и среднего предпринимательства в городском округе Первоуральск, являются: </w:t>
      </w:r>
    </w:p>
    <w:p w14:paraId="5314F3F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Отсутствие объединений предпринимателей;</w:t>
      </w:r>
    </w:p>
    <w:p w14:paraId="65E14BDC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Недобросовестная конкуренция;</w:t>
      </w:r>
    </w:p>
    <w:p w14:paraId="0F28290A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Сложность участия малого и среднего предпринимательства в закупках по Федеральному закону от 05 апреля 2013 года №</w:t>
      </w:r>
      <w:r w:rsidR="00163A5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нужд»;</w:t>
      </w:r>
    </w:p>
    <w:p w14:paraId="12BB309D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Недостаточное взаимодействие крупного и малого предпринимательства по развитию кооперации;</w:t>
      </w:r>
    </w:p>
    <w:p w14:paraId="3244B18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Недостаточная инф</w:t>
      </w:r>
      <w:r w:rsidR="002447DA">
        <w:rPr>
          <w:rFonts w:ascii="Liberation Serif" w:eastAsia="Calibri" w:hAnsi="Liberation Serif" w:cs="Liberation Serif"/>
          <w:sz w:val="24"/>
          <w:szCs w:val="24"/>
          <w:lang w:eastAsia="ru-RU"/>
        </w:rPr>
        <w:t>ормированность предпринимателей.</w:t>
      </w:r>
    </w:p>
    <w:p w14:paraId="105C691C" w14:textId="77777777" w:rsidR="0026355A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4390674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ТОРГОВОЙ ДЕЯТЕЛЬНОСТИ</w:t>
      </w:r>
    </w:p>
    <w:p w14:paraId="5AB95B38" w14:textId="77777777" w:rsidR="0026355A" w:rsidRPr="00B24F70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3ED4D56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Торговля является стабильно и динамично развивающейся сферой экономики. Являясь источником поступления денежных средств, торговля формирует основы финансовой стабильности государства, поэтому его заинтересованность в увеличении масштабов торговой деятельности объективно обусловлена. Создание условий для обеспечения жителей города услугами торговли является также одним из приоритетных направлений деятельности органов местного самоуправления. Торговля является стабильно и динамично развивающейся сферой экономики.</w:t>
      </w:r>
    </w:p>
    <w:p w14:paraId="11BC957E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розничной торговле городского округа Первоуральск, как и всей России, наблюдаются значительные структурные изменения в организационных формах торговли, ослабляются позиции неорганизованной торговли (продажа товаров на рынках) и усиливаются позиции торгующих организаций в стационарной торговой сети.</w:t>
      </w:r>
    </w:p>
    <w:p w14:paraId="0ABFAD9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Наличие достаточного количества торговых площадей разнообразных форматов обеспечивает доступность товаров для населения, разнообразие ассортимента. </w:t>
      </w:r>
    </w:p>
    <w:p w14:paraId="767215EC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городского округа в соответствии со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статьёй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 Федерального закона       от 28 декабря 2009 года № 381-ФЗ "Об основах государственного регулирования торговой деятельности в Российской Федерации"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ведётся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работа по упорядочению нестационарной торговой с</w:t>
      </w:r>
      <w:r w:rsidR="00417387">
        <w:rPr>
          <w:rFonts w:ascii="Liberation Serif" w:eastAsia="Times New Roman" w:hAnsi="Liberation Serif" w:cs="Times New Roman"/>
          <w:sz w:val="24"/>
          <w:szCs w:val="24"/>
          <w:lang w:eastAsia="ru-RU"/>
        </w:rPr>
        <w:t>ети. Сформирована и утверждена С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необходимости обеспечения устойчивого развития территорий и развития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малого и среднего бизнеса, обеспечения населения товарами, в том числе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малонаселённых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отдалённых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труднодоступных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пунктах. </w:t>
      </w:r>
    </w:p>
    <w:p w14:paraId="11BFE9CF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Нестационарные торговые объекты в городе представлены в виде специализированных киосков, павильонов, торгово-остановочных комплексов, сезонных нестационарных торговых объектов (кафе, лотков, изотермических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ёмкостей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цистерн для продажи кваса,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ёлочных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базаров, иных специальных приспособлений). </w:t>
      </w:r>
    </w:p>
    <w:p w14:paraId="0A797368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целях взаимовыгодного сотрудничества с местными товаропроизводителями и фермерскими хозяйствами в течение года проводятся сельскохозяйственные ярмарки.</w:t>
      </w:r>
    </w:p>
    <w:p w14:paraId="704D2203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Несмотря на положительные тенденции, происходящие в сфере торговли городского округа Первоуральск, очевидна актуальность принятия ко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мплекса мер, направленных для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дальнейшего развития. Важнейшим направлением развития торговли является дальнейшее формиров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ание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инфраструктуры, предусматривающее создание комфортных условий для приобретения товаров населением, повышение качества и культуры обслуживания, ценовой доступности товаров. </w:t>
      </w:r>
    </w:p>
    <w:p w14:paraId="5A1EC6FF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Анализ сложившегося на территории городского округа Первоуральск положения в сфере торговли позволил выявить ряд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нерешённых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проблем, сдерживающих развитие потребительского рынка, к которым следует отнести:</w:t>
      </w:r>
    </w:p>
    <w:p w14:paraId="69C512DB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недостаточным уровнем развития инфраструктуры розничной торговли, в том числе слабыми хозяйственными связями между производителями и организациями торговли, и наличием большого числа посредников;</w:t>
      </w:r>
    </w:p>
    <w:p w14:paraId="48713CD1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недостаточность инвестирования в строительство и реконструкцию торговых объектов;</w:t>
      </w:r>
    </w:p>
    <w:p w14:paraId="3B36EEED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обеспечением ценовой доступности товаров для всех групп населения;</w:t>
      </w:r>
    </w:p>
    <w:p w14:paraId="4578BB23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недостаточный уровень обеспечения качества и безопасности потребительских товаров;</w:t>
      </w:r>
    </w:p>
    <w:p w14:paraId="43AFFAAB" w14:textId="77777777" w:rsidR="00B24F70" w:rsidRPr="00855B56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несоответствие уровня предоставления услуг торговли, технологического осна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щения требованиям покупателей.</w:t>
      </w:r>
    </w:p>
    <w:p w14:paraId="51303A80" w14:textId="05DFCC22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Инфраструктура потребительского рынка городского округа Первоуральск представлена 1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050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объектами, из них 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658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объекта торговли (магазины, торговые центры, нестационарн</w:t>
      </w:r>
      <w:r w:rsidR="0064191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ые торговые объекты и т.д.), 17</w:t>
      </w:r>
      <w:r w:rsidR="00B923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общественного </w:t>
      </w:r>
      <w:r w:rsidR="00890C63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питания,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21</w:t>
      </w:r>
      <w:r w:rsidR="00B923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бытового обслуживания населения. Также осуществляются: выездная торговля, сезонная торговля, обслуживание мероприятий, ярмарки.</w:t>
      </w:r>
    </w:p>
    <w:p w14:paraId="42412C2C" w14:textId="77777777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городском округе Первоуральск формы функционирования торговых предприятий достаточно разнообразны, это торговые центры, магазины, нестационарные торговые объекты, выездная торговля, обслуживание мероприятий, временные сооружения, ярмарки.</w:t>
      </w:r>
    </w:p>
    <w:p w14:paraId="59486E7F" w14:textId="559731D3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31 декабря 2023 года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отделе развития потребительского рынка, предпринимательства и туризма Администрации городского округа Первоуральск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зарегистрировано объекта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рговли с торговой площадью 116,4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том числе:</w:t>
      </w:r>
    </w:p>
    <w:p w14:paraId="4AC3E829" w14:textId="3EA3D6D5" w:rsidR="00B24F70" w:rsidRPr="00855B56" w:rsidRDefault="004C21BC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53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торговой площадью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82,7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 кв. м, из них 19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продо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вольственных, 23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непродовольственных,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смешанных;</w:t>
      </w:r>
    </w:p>
    <w:p w14:paraId="58AE478E" w14:textId="5709A9A7" w:rsidR="00B24F70" w:rsidRPr="00855B56" w:rsidRDefault="004C21BC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центров, торговой площадью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64,26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30FC0A8C" w14:textId="4ABF3FCA" w:rsidR="00B24F70" w:rsidRPr="00855B56" w:rsidRDefault="00855B56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139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нестационарных торговых объекта, в том числ</w:t>
      </w:r>
      <w:r w:rsidR="0019019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е: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89</w:t>
      </w:r>
      <w:r w:rsidR="00D369FB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павильонов,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1E3F7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 киосков,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23 – палатки, 7 – автолавки и трейлеры.</w:t>
      </w:r>
    </w:p>
    <w:p w14:paraId="502D6F48" w14:textId="1014471C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Уровень обеспеченности торговыми площадями на 1 тысячу жителей городского округа Первоуральск составил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870,08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F0F4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что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говорит о хорошей доступности торговых услуг.</w:t>
      </w:r>
    </w:p>
    <w:p w14:paraId="7A12EF80" w14:textId="2C6E6B04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Первоуральск функционирует 1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 (в том числе: 1 центр - торгово-развлекательный), более 4</w:t>
      </w:r>
      <w:r w:rsidR="00A9713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сетей всех уровней: международной, федера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льной, региональной, местной: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11-</w:t>
      </w:r>
      <w:r w:rsidR="006077F2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продовольственных,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25-непродовольственных, 11-со смешанным ассортиментом товаров, из них 16 - представляют федеральные торговые сети,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областные, 24 - местные.</w:t>
      </w:r>
    </w:p>
    <w:p w14:paraId="437AF33E" w14:textId="40405D95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Торговая сеть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на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01 июля 2024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включает в себя 13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 торговли, в том числе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103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павильонов,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киосков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, 7 палаток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Из 29-ти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17 (58%) имеют стационарную торговую сеть.</w:t>
      </w:r>
    </w:p>
    <w:p w14:paraId="5ED2612C" w14:textId="63B7CF10" w:rsidR="00B24F70" w:rsidRPr="00855B56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Согласно постановлению Администрации городского округа Первоуральск</w:t>
      </w:r>
      <w:r w:rsidR="00B357A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24 декабря 2018 года №</w:t>
      </w:r>
      <w:r w:rsidR="008D0B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31CA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2039 сформирована С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(далее – НТО) на территории городского округа Первоуральск, в которую вошли </w:t>
      </w:r>
      <w:r w:rsidR="004B112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земельных участков по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 размещение НТО, в том числе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0640A2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B7494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перспективны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, 1</w:t>
      </w:r>
      <w:r w:rsidR="00274B7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действующих.</w:t>
      </w:r>
    </w:p>
    <w:p w14:paraId="47E6B20C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Увеличение количества торговых объектов объясняется, прежде всего, ежегодным открытием новых предприятий торговли, реконструкцией имеющихся торговых объектов, что позволяет улучшить условия для обслуживания потребителей и условия работы продавцов, применять новое высокотехнологичное оборудование, модернизировать узлы </w:t>
      </w:r>
      <w:r w:rsidR="00635959"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расчёта</w:t>
      </w: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, применять штрихкодирование, производить оплату товара с применением банковских пластиковых карт и др.</w:t>
      </w:r>
    </w:p>
    <w:p w14:paraId="784940C3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2D4660D7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РАЗВИТИЕ ВНУТРЕННЕГО И ВЪЕЗДНОГО ТУРИЗМА</w:t>
      </w:r>
    </w:p>
    <w:p w14:paraId="7FFDF670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4CE41AD3" w14:textId="7323AA9E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Внутренний и въездной туризм в Российской Федерации </w:t>
      </w:r>
      <w:r w:rsidR="00A7520D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это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сегодня не только отрасль экономики, но и важное социальное явление, которое открывает людям возможность знакомства с историей и культурой разных народов, взаимного обмена опытом и знаниями</w:t>
      </w:r>
    </w:p>
    <w:p w14:paraId="65E5FF78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Первоуральск — крупный культурный центр Свердловской области, имеет развитую инфраструктуру.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Ещё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момента основания уральской столицы считается, что по реке Урал проходит граница между двумя частями света, Европой и Азией.  Это исключительный город, имеющий красивые природные ландшафты, которые доступны для всех категорий туристов.</w:t>
      </w:r>
    </w:p>
    <w:p w14:paraId="4386913C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Богатая история, множество памятников архитектуры, Инновационный культурный центр, в котором проходят музейные выставки, концерты российских звёзд, прямые трансляции из Свердловской областной филармонии и многое другое – настоящий простор для многочисленных туристов. В городе 21 памятник истории и культуры, 11 объектов культуры и достопримечательностей, 8 церквей и соборов, 3 архитектурные достопримечательности.</w:t>
      </w:r>
    </w:p>
    <w:p w14:paraId="1C7E8131" w14:textId="77777777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635B">
        <w:rPr>
          <w:rFonts w:ascii="Liberation Serif" w:hAnsi="Liberation Serif"/>
          <w:sz w:val="24"/>
          <w:szCs w:val="24"/>
        </w:rPr>
        <w:t xml:space="preserve">Гористая местность </w:t>
      </w:r>
      <w:r w:rsidR="00635959" w:rsidRPr="00A3635B">
        <w:rPr>
          <w:rFonts w:ascii="Liberation Serif" w:hAnsi="Liberation Serif"/>
          <w:sz w:val="24"/>
          <w:szCs w:val="24"/>
        </w:rPr>
        <w:t>создаёт</w:t>
      </w:r>
      <w:r w:rsidRPr="00A3635B">
        <w:rPr>
          <w:rFonts w:ascii="Liberation Serif" w:hAnsi="Liberation Serif"/>
          <w:sz w:val="24"/>
          <w:szCs w:val="24"/>
        </w:rPr>
        <w:t xml:space="preserve"> благоприятные условия для развития спорти</w:t>
      </w:r>
      <w:r>
        <w:rPr>
          <w:rFonts w:ascii="Liberation Serif" w:hAnsi="Liberation Serif"/>
          <w:sz w:val="24"/>
          <w:szCs w:val="24"/>
        </w:rPr>
        <w:t>в</w:t>
      </w:r>
      <w:r w:rsidRPr="00A3635B">
        <w:rPr>
          <w:rFonts w:ascii="Liberation Serif" w:hAnsi="Liberation Serif"/>
          <w:sz w:val="24"/>
          <w:szCs w:val="24"/>
        </w:rPr>
        <w:t xml:space="preserve">ного туризма. На территории </w:t>
      </w:r>
      <w:r>
        <w:rPr>
          <w:rFonts w:ascii="Liberation Serif" w:hAnsi="Liberation Serif"/>
          <w:sz w:val="24"/>
          <w:szCs w:val="24"/>
        </w:rPr>
        <w:t>городского округа находиться три горнолыжных комплекса: «</w:t>
      </w:r>
      <w:r w:rsidR="00635959">
        <w:rPr>
          <w:rFonts w:ascii="Liberation Serif" w:hAnsi="Liberation Serif"/>
          <w:sz w:val="24"/>
          <w:szCs w:val="24"/>
        </w:rPr>
        <w:t>Тёплая</w:t>
      </w:r>
      <w:r>
        <w:rPr>
          <w:rFonts w:ascii="Liberation Serif" w:hAnsi="Liberation Serif"/>
          <w:sz w:val="24"/>
          <w:szCs w:val="24"/>
        </w:rPr>
        <w:t>», «Пильная», «Волчиха». В целях популяризации и доступности</w:t>
      </w:r>
      <w:r w:rsidRPr="00BC3A88">
        <w:rPr>
          <w:rFonts w:ascii="Liberation Serif" w:hAnsi="Liberation Serif"/>
          <w:sz w:val="24"/>
          <w:szCs w:val="24"/>
        </w:rPr>
        <w:t xml:space="preserve"> для туристов горнолыжных видов спорта и активного </w:t>
      </w:r>
      <w:r>
        <w:rPr>
          <w:rFonts w:ascii="Liberation Serif" w:hAnsi="Liberation Serif"/>
          <w:sz w:val="24"/>
          <w:szCs w:val="24"/>
        </w:rPr>
        <w:t xml:space="preserve">вида </w:t>
      </w:r>
      <w:r w:rsidRPr="00BC3A88">
        <w:rPr>
          <w:rFonts w:ascii="Liberation Serif" w:hAnsi="Liberation Serif"/>
          <w:sz w:val="24"/>
          <w:szCs w:val="24"/>
        </w:rPr>
        <w:t xml:space="preserve">отдыха на территории </w:t>
      </w:r>
      <w:r>
        <w:rPr>
          <w:rFonts w:ascii="Liberation Serif" w:hAnsi="Liberation Serif"/>
          <w:sz w:val="24"/>
          <w:szCs w:val="24"/>
        </w:rPr>
        <w:t>городского округа Первоуральск планируется организация транспортных средств для перевозки туристов к горнолыжным комплексам</w:t>
      </w:r>
      <w:r w:rsidRPr="00A3635B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3C2EF8D6" w14:textId="1333C3F9" w:rsidR="006704AF" w:rsidRDefault="00855B56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Times New Roman"/>
          <w:sz w:val="24"/>
          <w:szCs w:val="24"/>
          <w:lang w:eastAsia="ru-RU"/>
        </w:rPr>
        <w:t>Инфраструктура гостеприимства включает 22 объекта размещения, среди которых 7 гостиниц, 10 баз отдыха</w:t>
      </w:r>
      <w:r w:rsidR="00740A68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и кемпингов и 3 санатория.</w:t>
      </w:r>
    </w:p>
    <w:p w14:paraId="710D00E2" w14:textId="77777777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В городе осуществляют свою деятельность два туристско-информационных центра.</w:t>
      </w:r>
    </w:p>
    <w:p w14:paraId="1AE7C176" w14:textId="77777777" w:rsidR="006704AF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Основные направления развития туризма в нашем городе: культурно-познавательный, промышленный, спортивный. Эти виды туризма помогают достаточно широко раскрыть туристский потенциал города.</w:t>
      </w:r>
    </w:p>
    <w:p w14:paraId="47F579F3" w14:textId="77777777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F542DF4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направлена на расширение и совершенствование механизмов поддержки организаций инфраструктуры поддержки субъектов и привлечение средств областного бюджета.</w:t>
      </w:r>
    </w:p>
    <w:p w14:paraId="4B73B8D7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Ожидаемыми результатами реализации муниципальной программы станут:</w:t>
      </w:r>
    </w:p>
    <w:p w14:paraId="3186E9B9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поддержка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субъектов малого и среднего предпринимательства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путём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предоставления субсидий; </w:t>
      </w:r>
    </w:p>
    <w:p w14:paraId="1FC11AFA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увеличение доли занятых в сфере малого и среднего предпринимательства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4E34A836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торговой инфраструктуры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многообразия видов и типов торговых объектов, форм и способов торговли, предусматривающее создание комфортных условий для приобретения товаров населением, повышение качества обслуживания, ценовой доступности товаров; </w:t>
      </w:r>
    </w:p>
    <w:p w14:paraId="5525ECB8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объектов туристической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инфраструктуры, повышение качества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услуг, оказываемых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сфере туризма;</w:t>
      </w:r>
    </w:p>
    <w:p w14:paraId="2AF7252A" w14:textId="77777777" w:rsidR="00B24F70" w:rsidRPr="00B24F70" w:rsidRDefault="00FA3CC7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6704AF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  </w:t>
      </w:r>
      <w:r w:rsidR="006704AF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благоприятных условий для беспрепятственного доступа туристов к туристическим объектам.</w:t>
      </w:r>
    </w:p>
    <w:p w14:paraId="66597953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90406B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604057C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353643A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138DA69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D1FEA14" w14:textId="77777777" w:rsidR="00B24F70" w:rsidRPr="00B24F70" w:rsidRDefault="00B24F70" w:rsidP="00B24F70">
      <w:pPr>
        <w:spacing w:after="0" w:line="240" w:lineRule="auto"/>
        <w:ind w:firstLine="709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3C63C587" w14:textId="77777777" w:rsidR="000A6BC7" w:rsidRPr="00B24F70" w:rsidRDefault="000A6BC7" w:rsidP="00B24F70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</w:p>
    <w:sectPr w:rsidR="000A6BC7" w:rsidRPr="00B24F70" w:rsidSect="00D13FB6">
      <w:headerReference w:type="default" r:id="rId8"/>
      <w:pgSz w:w="11906" w:h="16838"/>
      <w:pgMar w:top="1134" w:right="707" w:bottom="1135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87DBF" w14:textId="77777777" w:rsidR="00EE00B3" w:rsidRDefault="00EE00B3" w:rsidP="00E02736">
      <w:pPr>
        <w:spacing w:after="0" w:line="240" w:lineRule="auto"/>
      </w:pPr>
      <w:r>
        <w:separator/>
      </w:r>
    </w:p>
  </w:endnote>
  <w:endnote w:type="continuationSeparator" w:id="0">
    <w:p w14:paraId="2A33C824" w14:textId="77777777" w:rsidR="00EE00B3" w:rsidRDefault="00EE00B3" w:rsidP="00E0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5587C" w14:textId="77777777" w:rsidR="00EE00B3" w:rsidRDefault="00EE00B3" w:rsidP="00E02736">
      <w:pPr>
        <w:spacing w:after="0" w:line="240" w:lineRule="auto"/>
      </w:pPr>
      <w:r>
        <w:separator/>
      </w:r>
    </w:p>
  </w:footnote>
  <w:footnote w:type="continuationSeparator" w:id="0">
    <w:p w14:paraId="607FEBB9" w14:textId="77777777" w:rsidR="00EE00B3" w:rsidRDefault="00EE00B3" w:rsidP="00E02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696861"/>
      <w:docPartObj>
        <w:docPartGallery w:val="Page Numbers (Top of Page)"/>
        <w:docPartUnique/>
      </w:docPartObj>
    </w:sdtPr>
    <w:sdtEndPr/>
    <w:sdtContent>
      <w:p w14:paraId="4D61B9D5" w14:textId="77777777" w:rsidR="00D13FB6" w:rsidRDefault="00D13F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4A2">
          <w:rPr>
            <w:noProof/>
          </w:rPr>
          <w:t>5</w:t>
        </w:r>
        <w:r>
          <w:fldChar w:fldCharType="end"/>
        </w:r>
      </w:p>
    </w:sdtContent>
  </w:sdt>
  <w:p w14:paraId="3922F858" w14:textId="77777777" w:rsidR="00E02736" w:rsidRDefault="00E027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2B28"/>
    <w:multiLevelType w:val="hybridMultilevel"/>
    <w:tmpl w:val="8CD2C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47484"/>
    <w:multiLevelType w:val="hybridMultilevel"/>
    <w:tmpl w:val="5944DF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AB44C97"/>
    <w:multiLevelType w:val="hybridMultilevel"/>
    <w:tmpl w:val="F35EFA8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ACD7E54"/>
    <w:multiLevelType w:val="hybridMultilevel"/>
    <w:tmpl w:val="7B0012B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5F0395F"/>
    <w:multiLevelType w:val="hybridMultilevel"/>
    <w:tmpl w:val="87D475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1"/>
    <w:rsid w:val="00000142"/>
    <w:rsid w:val="00007268"/>
    <w:rsid w:val="00011693"/>
    <w:rsid w:val="000146AF"/>
    <w:rsid w:val="000467B0"/>
    <w:rsid w:val="000512A1"/>
    <w:rsid w:val="000543B7"/>
    <w:rsid w:val="000640A2"/>
    <w:rsid w:val="00071F93"/>
    <w:rsid w:val="000874DA"/>
    <w:rsid w:val="000A0CC2"/>
    <w:rsid w:val="000A5AA0"/>
    <w:rsid w:val="000A6BC7"/>
    <w:rsid w:val="000D7FD0"/>
    <w:rsid w:val="000E0E7A"/>
    <w:rsid w:val="000E6767"/>
    <w:rsid w:val="000F015A"/>
    <w:rsid w:val="00103AEB"/>
    <w:rsid w:val="001058B6"/>
    <w:rsid w:val="001110F6"/>
    <w:rsid w:val="00111377"/>
    <w:rsid w:val="00142386"/>
    <w:rsid w:val="00145D91"/>
    <w:rsid w:val="001635B3"/>
    <w:rsid w:val="00163A56"/>
    <w:rsid w:val="00165011"/>
    <w:rsid w:val="00181033"/>
    <w:rsid w:val="00185C17"/>
    <w:rsid w:val="00190190"/>
    <w:rsid w:val="001A5B0E"/>
    <w:rsid w:val="001B2EB1"/>
    <w:rsid w:val="001D6F1D"/>
    <w:rsid w:val="001E3F76"/>
    <w:rsid w:val="001F1499"/>
    <w:rsid w:val="002245EE"/>
    <w:rsid w:val="002447DA"/>
    <w:rsid w:val="00246AA6"/>
    <w:rsid w:val="002606C3"/>
    <w:rsid w:val="0026355A"/>
    <w:rsid w:val="00265D89"/>
    <w:rsid w:val="00274B75"/>
    <w:rsid w:val="002B3435"/>
    <w:rsid w:val="00317652"/>
    <w:rsid w:val="003409AC"/>
    <w:rsid w:val="00350C96"/>
    <w:rsid w:val="0035278A"/>
    <w:rsid w:val="00353CBE"/>
    <w:rsid w:val="00372D50"/>
    <w:rsid w:val="003736DE"/>
    <w:rsid w:val="003741C5"/>
    <w:rsid w:val="003A3D94"/>
    <w:rsid w:val="003A7157"/>
    <w:rsid w:val="003B7494"/>
    <w:rsid w:val="003D52B3"/>
    <w:rsid w:val="003E4CF8"/>
    <w:rsid w:val="003F1261"/>
    <w:rsid w:val="00404BB8"/>
    <w:rsid w:val="00417387"/>
    <w:rsid w:val="00467EA4"/>
    <w:rsid w:val="004947DE"/>
    <w:rsid w:val="004A0558"/>
    <w:rsid w:val="004B1129"/>
    <w:rsid w:val="004C0FC5"/>
    <w:rsid w:val="004C21BC"/>
    <w:rsid w:val="004D1FC1"/>
    <w:rsid w:val="004D5036"/>
    <w:rsid w:val="004E0AB1"/>
    <w:rsid w:val="004E47E3"/>
    <w:rsid w:val="0050455C"/>
    <w:rsid w:val="00507CC1"/>
    <w:rsid w:val="00513B55"/>
    <w:rsid w:val="00514A0D"/>
    <w:rsid w:val="005214A2"/>
    <w:rsid w:val="005403AE"/>
    <w:rsid w:val="00546362"/>
    <w:rsid w:val="00546812"/>
    <w:rsid w:val="0055465F"/>
    <w:rsid w:val="00576E58"/>
    <w:rsid w:val="005A2DD4"/>
    <w:rsid w:val="005B5497"/>
    <w:rsid w:val="005B566C"/>
    <w:rsid w:val="005B59FD"/>
    <w:rsid w:val="005C384D"/>
    <w:rsid w:val="005C5020"/>
    <w:rsid w:val="005D1C9F"/>
    <w:rsid w:val="005D63A7"/>
    <w:rsid w:val="005E0CD2"/>
    <w:rsid w:val="005F0D63"/>
    <w:rsid w:val="005F26E1"/>
    <w:rsid w:val="006077F2"/>
    <w:rsid w:val="006215B8"/>
    <w:rsid w:val="00635959"/>
    <w:rsid w:val="0064191A"/>
    <w:rsid w:val="00652CA8"/>
    <w:rsid w:val="00657328"/>
    <w:rsid w:val="00660D07"/>
    <w:rsid w:val="006704AF"/>
    <w:rsid w:val="00673F48"/>
    <w:rsid w:val="00686BA0"/>
    <w:rsid w:val="006A347F"/>
    <w:rsid w:val="006B26B5"/>
    <w:rsid w:val="006B3BD0"/>
    <w:rsid w:val="006D2B0A"/>
    <w:rsid w:val="006D5229"/>
    <w:rsid w:val="006E0EEA"/>
    <w:rsid w:val="00700563"/>
    <w:rsid w:val="007164B0"/>
    <w:rsid w:val="00740A68"/>
    <w:rsid w:val="00763651"/>
    <w:rsid w:val="0077016F"/>
    <w:rsid w:val="00786D5A"/>
    <w:rsid w:val="007A1595"/>
    <w:rsid w:val="007B19D9"/>
    <w:rsid w:val="007E7702"/>
    <w:rsid w:val="0082196F"/>
    <w:rsid w:val="00830E10"/>
    <w:rsid w:val="008406D6"/>
    <w:rsid w:val="00855B56"/>
    <w:rsid w:val="00890C63"/>
    <w:rsid w:val="008D0BEC"/>
    <w:rsid w:val="008E75B9"/>
    <w:rsid w:val="00923573"/>
    <w:rsid w:val="00931421"/>
    <w:rsid w:val="00945BFE"/>
    <w:rsid w:val="009C0117"/>
    <w:rsid w:val="009E089F"/>
    <w:rsid w:val="00A554E7"/>
    <w:rsid w:val="00A665BA"/>
    <w:rsid w:val="00A7520D"/>
    <w:rsid w:val="00A75259"/>
    <w:rsid w:val="00A92FE0"/>
    <w:rsid w:val="00A97135"/>
    <w:rsid w:val="00AA00F3"/>
    <w:rsid w:val="00AA30D9"/>
    <w:rsid w:val="00AA61DB"/>
    <w:rsid w:val="00AB3E29"/>
    <w:rsid w:val="00AD7537"/>
    <w:rsid w:val="00AE4948"/>
    <w:rsid w:val="00AE6D6B"/>
    <w:rsid w:val="00B0185C"/>
    <w:rsid w:val="00B102F2"/>
    <w:rsid w:val="00B13E42"/>
    <w:rsid w:val="00B1431E"/>
    <w:rsid w:val="00B240B9"/>
    <w:rsid w:val="00B24F70"/>
    <w:rsid w:val="00B35748"/>
    <w:rsid w:val="00B357A3"/>
    <w:rsid w:val="00B35B2B"/>
    <w:rsid w:val="00B37C21"/>
    <w:rsid w:val="00B606F5"/>
    <w:rsid w:val="00B876ED"/>
    <w:rsid w:val="00B923EC"/>
    <w:rsid w:val="00BC32BF"/>
    <w:rsid w:val="00BC39F9"/>
    <w:rsid w:val="00BD532C"/>
    <w:rsid w:val="00BE0316"/>
    <w:rsid w:val="00BF0F4C"/>
    <w:rsid w:val="00BF664F"/>
    <w:rsid w:val="00C15F15"/>
    <w:rsid w:val="00C20FBF"/>
    <w:rsid w:val="00C26B47"/>
    <w:rsid w:val="00C441FB"/>
    <w:rsid w:val="00C77C9B"/>
    <w:rsid w:val="00CA3470"/>
    <w:rsid w:val="00CA4347"/>
    <w:rsid w:val="00CF2534"/>
    <w:rsid w:val="00D0073F"/>
    <w:rsid w:val="00D12FED"/>
    <w:rsid w:val="00D13FB6"/>
    <w:rsid w:val="00D31650"/>
    <w:rsid w:val="00D31CAC"/>
    <w:rsid w:val="00D32FAC"/>
    <w:rsid w:val="00D369FB"/>
    <w:rsid w:val="00D5294F"/>
    <w:rsid w:val="00D57428"/>
    <w:rsid w:val="00D60862"/>
    <w:rsid w:val="00D60D9D"/>
    <w:rsid w:val="00D664C5"/>
    <w:rsid w:val="00D95A44"/>
    <w:rsid w:val="00DA40B0"/>
    <w:rsid w:val="00DA7B37"/>
    <w:rsid w:val="00DD576D"/>
    <w:rsid w:val="00DF5010"/>
    <w:rsid w:val="00E02736"/>
    <w:rsid w:val="00E0418D"/>
    <w:rsid w:val="00E106A9"/>
    <w:rsid w:val="00E138C0"/>
    <w:rsid w:val="00E31739"/>
    <w:rsid w:val="00E5092A"/>
    <w:rsid w:val="00E50ECB"/>
    <w:rsid w:val="00E8066A"/>
    <w:rsid w:val="00E901FB"/>
    <w:rsid w:val="00EE00B3"/>
    <w:rsid w:val="00F15440"/>
    <w:rsid w:val="00F50511"/>
    <w:rsid w:val="00F56545"/>
    <w:rsid w:val="00F81768"/>
    <w:rsid w:val="00F83DF7"/>
    <w:rsid w:val="00F90455"/>
    <w:rsid w:val="00FA3CC7"/>
    <w:rsid w:val="00FE26FC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DA1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2115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Дорошенко</dc:creator>
  <cp:lastModifiedBy>Ващенко Юлия Александровна</cp:lastModifiedBy>
  <cp:revision>3</cp:revision>
  <dcterms:created xsi:type="dcterms:W3CDTF">2024-07-29T08:41:00Z</dcterms:created>
  <dcterms:modified xsi:type="dcterms:W3CDTF">2024-08-05T09:19:00Z</dcterms:modified>
</cp:coreProperties>
</file>