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F4" w:rsidRPr="00BE0FF4" w:rsidRDefault="005D6E93" w:rsidP="00BE0FF4">
      <w:pPr>
        <w:widowControl w:val="0"/>
        <w:suppressAutoHyphens/>
        <w:autoSpaceDN w:val="0"/>
        <w:spacing w:after="0" w:line="240" w:lineRule="auto"/>
        <w:ind w:left="5529"/>
        <w:textAlignment w:val="baseline"/>
        <w:rPr>
          <w:rFonts w:ascii="Liberation Serif" w:eastAsia="Courier New" w:hAnsi="Liberation Serif" w:cs="Liberation Serif"/>
          <w:color w:val="000000"/>
          <w:sz w:val="24"/>
          <w:szCs w:val="24"/>
          <w:lang w:eastAsia="ru-RU" w:bidi="ru-RU"/>
        </w:rPr>
      </w:pPr>
      <w:bookmarkStart w:id="0" w:name="_GoBack"/>
      <w:bookmarkEnd w:id="0"/>
      <w:r w:rsidRPr="00FA5AF4"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eastAsia="ru-RU" w:bidi="ru-RU"/>
        </w:rPr>
        <w:t>Приложение № 7</w:t>
      </w:r>
      <w:r w:rsidRPr="00FA5AF4">
        <w:rPr>
          <w:rFonts w:ascii="Liberation Serif" w:eastAsia="Courier New" w:hAnsi="Liberation Serif" w:cs="Liberation Serif"/>
          <w:color w:val="000000" w:themeColor="text1"/>
          <w:sz w:val="24"/>
          <w:szCs w:val="24"/>
          <w:lang w:eastAsia="ru-RU" w:bidi="ru-RU"/>
        </w:rPr>
        <w:br/>
      </w:r>
      <w:r w:rsidR="00BE0FF4" w:rsidRPr="00BE0FF4">
        <w:rPr>
          <w:rFonts w:ascii="Liberation Serif" w:eastAsia="Courier New" w:hAnsi="Liberation Serif" w:cs="Liberation Serif"/>
          <w:color w:val="000000"/>
          <w:sz w:val="24"/>
          <w:szCs w:val="24"/>
          <w:lang w:eastAsia="ru-RU" w:bidi="ru-RU"/>
        </w:rPr>
        <w:t>к Административному регламенту</w:t>
      </w:r>
    </w:p>
    <w:p w:rsidR="005D6E93" w:rsidRPr="005D6E93" w:rsidRDefault="00BE0FF4" w:rsidP="00BE0FF4">
      <w:pPr>
        <w:widowControl w:val="0"/>
        <w:suppressAutoHyphens/>
        <w:autoSpaceDN w:val="0"/>
        <w:spacing w:after="0" w:line="240" w:lineRule="auto"/>
        <w:ind w:left="5529"/>
        <w:textAlignment w:val="baseline"/>
        <w:rPr>
          <w:rFonts w:ascii="Liberation Serif" w:eastAsia="Courier New" w:hAnsi="Liberation Serif" w:cs="Liberation Serif"/>
          <w:color w:val="000000"/>
          <w:sz w:val="24"/>
          <w:szCs w:val="24"/>
          <w:lang w:eastAsia="ru-RU" w:bidi="ru-RU"/>
        </w:rPr>
      </w:pPr>
      <w:r w:rsidRPr="00BE0FF4">
        <w:rPr>
          <w:rFonts w:ascii="Liberation Serif" w:eastAsia="Courier New" w:hAnsi="Liberation Serif" w:cs="Liberation Serif"/>
          <w:color w:val="000000"/>
          <w:sz w:val="24"/>
          <w:szCs w:val="24"/>
          <w:lang w:eastAsia="ru-RU" w:bidi="ru-RU"/>
        </w:rPr>
        <w:t>«Организация отдыха детей в каникулярное время»</w:t>
      </w:r>
    </w:p>
    <w:p w:rsidR="005D6E93" w:rsidRPr="005D6E93" w:rsidRDefault="005D6E93" w:rsidP="005D6E9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Calibri" w:hAnsi="Liberation Serif" w:cs="Liberation Serif"/>
          <w:b/>
          <w:bCs/>
          <w:color w:val="000000"/>
          <w:sz w:val="24"/>
          <w:szCs w:val="24"/>
        </w:rPr>
      </w:pPr>
    </w:p>
    <w:p w:rsidR="005D6E93" w:rsidRPr="005D6E93" w:rsidRDefault="005D6E93" w:rsidP="005D6E93">
      <w:pPr>
        <w:suppressAutoHyphens/>
        <w:autoSpaceDN w:val="0"/>
        <w:spacing w:after="0" w:line="276" w:lineRule="auto"/>
        <w:jc w:val="center"/>
        <w:textAlignment w:val="baseline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5D6E93">
        <w:rPr>
          <w:rFonts w:ascii="Liberation Serif" w:eastAsia="Courier New" w:hAnsi="Liberation Serif" w:cs="Liberation Serif"/>
          <w:b/>
          <w:color w:val="000000"/>
          <w:sz w:val="24"/>
          <w:szCs w:val="24"/>
          <w:lang w:eastAsia="ru-RU" w:bidi="ru-RU"/>
        </w:rPr>
        <w:t xml:space="preserve">Исчерпывающий перечень документов,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услуги, и услуг, которые являются необходимыми и обязательными для предоставления муниципальной услуги, подлежащих представлению заявителем,  </w:t>
      </w:r>
      <w:r w:rsidR="00BD04CB">
        <w:rPr>
          <w:rFonts w:ascii="Liberation Serif" w:eastAsia="Courier New" w:hAnsi="Liberation Serif" w:cs="Liberation Serif"/>
          <w:b/>
          <w:color w:val="000000"/>
          <w:sz w:val="24"/>
          <w:szCs w:val="24"/>
          <w:lang w:eastAsia="ru-RU" w:bidi="ru-RU"/>
        </w:rPr>
        <w:br/>
      </w:r>
      <w:r w:rsidR="00FA5AF4">
        <w:rPr>
          <w:rFonts w:ascii="Liberation Serif" w:eastAsia="Courier New" w:hAnsi="Liberation Serif" w:cs="Liberation Serif"/>
          <w:b/>
          <w:color w:val="000000"/>
          <w:sz w:val="24"/>
          <w:szCs w:val="24"/>
          <w:lang w:eastAsia="ru-RU" w:bidi="ru-RU"/>
        </w:rPr>
        <w:t>форма</w:t>
      </w:r>
      <w:r w:rsidRPr="005D6E93">
        <w:rPr>
          <w:rFonts w:ascii="Liberation Serif" w:eastAsia="Courier New" w:hAnsi="Liberation Serif" w:cs="Liberation Serif"/>
          <w:b/>
          <w:color w:val="000000"/>
          <w:sz w:val="24"/>
          <w:szCs w:val="24"/>
          <w:lang w:eastAsia="ru-RU" w:bidi="ru-RU"/>
        </w:rPr>
        <w:t xml:space="preserve"> их представления</w:t>
      </w:r>
    </w:p>
    <w:p w:rsidR="005D6E93" w:rsidRPr="005D6E93" w:rsidRDefault="005D6E93" w:rsidP="005D6E93">
      <w:pPr>
        <w:suppressAutoHyphens/>
        <w:autoSpaceDN w:val="0"/>
        <w:spacing w:after="0" w:line="276" w:lineRule="auto"/>
        <w:ind w:firstLine="709"/>
        <w:jc w:val="both"/>
        <w:textAlignment w:val="baseline"/>
        <w:rPr>
          <w:rFonts w:ascii="Liberation Serif" w:eastAsia="Courier New" w:hAnsi="Liberation Serif" w:cs="Liberation Serif"/>
          <w:color w:val="000000"/>
          <w:sz w:val="24"/>
          <w:szCs w:val="24"/>
          <w:lang w:eastAsia="ru-RU" w:bidi="ru-RU"/>
        </w:rPr>
      </w:pPr>
    </w:p>
    <w:p w:rsidR="005D6E93" w:rsidRPr="005D6E93" w:rsidRDefault="005D6E93" w:rsidP="005D6E93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200" w:line="276" w:lineRule="auto"/>
        <w:ind w:left="142" w:firstLine="709"/>
        <w:contextualSpacing/>
        <w:jc w:val="both"/>
        <w:textAlignment w:val="baseline"/>
        <w:outlineLvl w:val="1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5D6E93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Перечень документов, предъявляемых заявителем для предоставления муниципальной услуги, </w:t>
      </w:r>
      <w:r w:rsidR="004272F4">
        <w:rPr>
          <w:rFonts w:ascii="Liberation Serif" w:eastAsia="Calibri" w:hAnsi="Liberation Serif" w:cs="Times New Roman"/>
          <w:color w:val="000000"/>
          <w:sz w:val="24"/>
          <w:szCs w:val="24"/>
        </w:rPr>
        <w:t>представлен</w:t>
      </w:r>
      <w:r w:rsidRPr="005D6E93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в таблице 1.</w:t>
      </w:r>
    </w:p>
    <w:p w:rsidR="005D6E93" w:rsidRPr="005D6E93" w:rsidRDefault="005D6E93" w:rsidP="005D6E93">
      <w:pPr>
        <w:widowControl w:val="0"/>
        <w:autoSpaceDE w:val="0"/>
        <w:autoSpaceDN w:val="0"/>
        <w:adjustRightInd w:val="0"/>
        <w:spacing w:after="0" w:line="276" w:lineRule="auto"/>
        <w:ind w:left="142"/>
        <w:contextualSpacing/>
        <w:jc w:val="both"/>
        <w:outlineLvl w:val="1"/>
        <w:rPr>
          <w:rFonts w:ascii="Liberation Serif" w:eastAsia="Calibri" w:hAnsi="Liberation Serif" w:cs="Times New Roman"/>
          <w:color w:val="000000"/>
          <w:sz w:val="24"/>
          <w:szCs w:val="24"/>
        </w:rPr>
      </w:pPr>
    </w:p>
    <w:p w:rsidR="005D6E93" w:rsidRPr="005D6E93" w:rsidRDefault="005D6E93" w:rsidP="005D6E93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outlineLvl w:val="1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5D6E93">
        <w:rPr>
          <w:rFonts w:ascii="Liberation Serif" w:eastAsia="Calibri" w:hAnsi="Liberation Serif" w:cs="Times New Roman"/>
          <w:color w:val="000000"/>
          <w:sz w:val="24"/>
          <w:szCs w:val="24"/>
        </w:rPr>
        <w:t>Т а б л и ц а 1</w:t>
      </w:r>
    </w:p>
    <w:p w:rsidR="005D6E93" w:rsidRPr="005D6E93" w:rsidRDefault="005D6E93" w:rsidP="005D6E93">
      <w:pPr>
        <w:widowControl w:val="0"/>
        <w:autoSpaceDE w:val="0"/>
        <w:autoSpaceDN w:val="0"/>
        <w:adjustRightInd w:val="0"/>
        <w:spacing w:after="0" w:line="276" w:lineRule="auto"/>
        <w:ind w:left="1429"/>
        <w:contextualSpacing/>
        <w:jc w:val="both"/>
        <w:outlineLvl w:val="1"/>
        <w:rPr>
          <w:rFonts w:ascii="Liberation Serif" w:eastAsia="Calibri" w:hAnsi="Liberation Serif" w:cs="Times New Roman"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496"/>
        <w:gridCol w:w="4145"/>
      </w:tblGrid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Категория </w:t>
            </w:r>
          </w:p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и (или) наименование представляемого документа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Форма представления документа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5D6E93" w:rsidRPr="005D6E93" w:rsidTr="004272F4">
        <w:trPr>
          <w:tblHeader/>
        </w:trPr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Свидетельство о рождении и паспорт (по достижении 14-летнего возраста) ребенка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Предъявляется для уточнения возраста ребенка, сведений о родителях</w:t>
            </w:r>
          </w:p>
        </w:tc>
      </w:tr>
      <w:tr w:rsidR="005D6E93" w:rsidRPr="005D6E93" w:rsidTr="004272F4">
        <w:trPr>
          <w:cantSplit/>
        </w:trPr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Справка из образовательной организации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0" w:line="276" w:lineRule="auto"/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Предоставляется для подтверждения факта обучения на территории муниципального образования</w:t>
            </w:r>
          </w:p>
        </w:tc>
      </w:tr>
      <w:tr w:rsidR="005D6E93" w:rsidRPr="005D6E93" w:rsidTr="004272F4">
        <w:trPr>
          <w:cantSplit/>
        </w:trPr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Документ, удостоверяющий личность заявителя, из числа следующих: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Предъявляется для подтверждения законности представления интересов ребенка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паспорт моряка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военный билет</w:t>
            </w:r>
            <w:r w:rsidR="00A403B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(рядовой состав, старшины, сержанты, ефрейторы)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A403B1" w:rsidRPr="005D6E93" w:rsidTr="004272F4">
        <w:tc>
          <w:tcPr>
            <w:tcW w:w="4390" w:type="dxa"/>
            <w:shd w:val="clear" w:color="auto" w:fill="auto"/>
          </w:tcPr>
          <w:p w:rsidR="00A403B1" w:rsidRPr="005D6E93" w:rsidRDefault="00A403B1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удостоверение личности военнослужащего Российской Федерации (прапорщики, младший и старший офицерский состав)</w:t>
            </w:r>
          </w:p>
        </w:tc>
        <w:tc>
          <w:tcPr>
            <w:tcW w:w="1496" w:type="dxa"/>
            <w:shd w:val="clear" w:color="auto" w:fill="auto"/>
          </w:tcPr>
          <w:p w:rsidR="00A403B1" w:rsidRPr="005D6E93" w:rsidRDefault="00A403B1" w:rsidP="005D6E93">
            <w:pPr>
              <w:spacing w:after="200" w:line="276" w:lineRule="auto"/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  <w:shd w:val="clear" w:color="auto" w:fill="auto"/>
          </w:tcPr>
          <w:p w:rsidR="00A403B1" w:rsidRPr="005D6E93" w:rsidRDefault="00A403B1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временное удостоверение личности гражданина Российской Федерации по форме № 2-П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Срок действия документа ограничен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общегражданский заграничный паспорт гражданина Российской Федерации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удостоверение беженца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Документ, подтверждающий смену ФИО 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Предъявляется для подтверждения законности представления интересов ребенка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Справка для получения путевки на санаторно-курортное лечение (в случае наличии заболевания, для лечения которого требуется направление в санаторий)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spacing w:after="20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Форма 070/у-04 (утверждена Приказом Минздравсоцразвития Российской Федерации от 22 ноября 2004 года               № 256 «О порядке медицинского отбора и направления больных на санаторно-курортное лечение») </w:t>
            </w:r>
          </w:p>
        </w:tc>
      </w:tr>
      <w:tr w:rsidR="00193872" w:rsidRPr="005D6E93" w:rsidTr="00B22283">
        <w:tc>
          <w:tcPr>
            <w:tcW w:w="10031" w:type="dxa"/>
            <w:gridSpan w:val="3"/>
            <w:shd w:val="clear" w:color="auto" w:fill="auto"/>
          </w:tcPr>
          <w:p w:rsidR="00193872" w:rsidRPr="005D6E93" w:rsidRDefault="00193872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Документы, представляемые заявителем для снижения размера оплаты за путевку, из числа следующих:</w:t>
            </w:r>
          </w:p>
          <w:p w:rsidR="00193872" w:rsidRPr="005D6E93" w:rsidRDefault="00193872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документ, подтверждающий потерю ребенком одного или обоих родителей, признания факта социального сиротства, из числа следующих: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71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в случае подачи заявления опекуном (попечителем) - решение органа опеки и попечительства об установлении опеки и попечительства;</w:t>
            </w:r>
          </w:p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71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- в случае подачи заявления приемным родителем - договор о передаче ребенка (детей) на воспитание в приемную семью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jc w:val="both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детей-сирот, детей, оставшихся без попечения родителей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6E7C2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71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справка Управления Пенсионного фонда по месту регистрации о назначении пенсии по потере кормильца или пенсионное удостоверение</w:t>
            </w:r>
            <w:r w:rsidR="00174B2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детей, получающих пенсию по случаю потери кормильца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B977D7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справка о назначении родителю (законному представителю) ежемесячного пособия на ребенка или государственной социальной помощи от Управления социальной политики </w:t>
            </w:r>
          </w:p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г. Первоуральск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Times New Roman" w:hAnsi="Liberation Serif" w:cs="Times New Roman"/>
                <w:color w:val="000000"/>
                <w:spacing w:val="2"/>
                <w:sz w:val="24"/>
                <w:szCs w:val="24"/>
                <w:lang w:eastAsia="ru-RU"/>
              </w:rPr>
              <w:t>Документ, предоставляемый в результате межведомственного взаимодействия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из семей, имеющих доход ниже прожиточного минимума, установленного в Свердловской области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910E7C" w:rsidRDefault="005D6E93" w:rsidP="00910E7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170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удостоверение многодетной семьи</w:t>
            </w:r>
            <w:r w:rsidR="00174B22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="00910E7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или двухмерный штриховой код (</w:t>
            </w:r>
            <w:r w:rsidR="00910E7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val="en-US"/>
              </w:rPr>
              <w:t>QR</w:t>
            </w:r>
            <w:r w:rsidR="00910E7C" w:rsidRPr="00910E7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-</w:t>
            </w:r>
            <w:r w:rsidR="00910E7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код)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из многодетной семьи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справка, выдаваемая федеральными государственными учреждениями 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медико-социальной экспертизы, выписка из акта освидетельствования гражданина, признанного инвалидом, справка медицинской организации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autoSpaceDE w:val="0"/>
              <w:autoSpaceDN w:val="0"/>
              <w:adjustRightInd w:val="0"/>
              <w:spacing w:after="0" w:line="276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93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Сведения об инвалиднос</w:t>
            </w:r>
            <w:r w:rsidRPr="005D6E93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ти, содержащиеся в ФГИС ФРИ</w:t>
            </w:r>
          </w:p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235"/>
              </w:tabs>
              <w:spacing w:after="0" w:line="276" w:lineRule="auto"/>
              <w:ind w:left="34"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- Для детей-инвалидов;</w:t>
            </w:r>
          </w:p>
          <w:p w:rsidR="005D6E93" w:rsidRPr="005D6E93" w:rsidRDefault="005D6E93" w:rsidP="005D6E93">
            <w:pPr>
              <w:widowControl w:val="0"/>
              <w:tabs>
                <w:tab w:val="left" w:pos="235"/>
              </w:tabs>
              <w:spacing w:after="0" w:line="276" w:lineRule="auto"/>
              <w:ind w:left="34"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- для ВИЧ-инфицированных детей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справка установленной формы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детей, вернувшихся из воспитательных колоний и специальных учреждений закрытого типа</w:t>
            </w:r>
          </w:p>
        </w:tc>
      </w:tr>
      <w:tr w:rsidR="00193872" w:rsidRPr="005D6E93" w:rsidTr="00FC5881">
        <w:tc>
          <w:tcPr>
            <w:tcW w:w="10031" w:type="dxa"/>
            <w:gridSpan w:val="3"/>
            <w:shd w:val="clear" w:color="auto" w:fill="auto"/>
          </w:tcPr>
          <w:p w:rsidR="00193872" w:rsidRDefault="00193872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Документы, представляемые заявителем, подтверждающие внеочередное получение путевки:</w:t>
            </w:r>
          </w:p>
          <w:p w:rsidR="00193872" w:rsidRPr="005D6E93" w:rsidRDefault="00193872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справка с места работы (службы) родителя (законного представителя)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прокуроров;</w:t>
            </w:r>
          </w:p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сотрудников Следственного комитета;</w:t>
            </w:r>
          </w:p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судей.</w:t>
            </w:r>
          </w:p>
        </w:tc>
      </w:tr>
      <w:tr w:rsidR="00174B22" w:rsidRPr="005D6E93" w:rsidTr="00AB0542">
        <w:tc>
          <w:tcPr>
            <w:tcW w:w="4390" w:type="dxa"/>
            <w:shd w:val="clear" w:color="auto" w:fill="auto"/>
          </w:tcPr>
          <w:p w:rsidR="00174B22" w:rsidRPr="005D6E93" w:rsidRDefault="00174B22" w:rsidP="00AB054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справка о </w:t>
            </w:r>
            <w:r w:rsidRPr="006E4245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участнику специальной военной операции</w:t>
            </w: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</w:tcPr>
          <w:p w:rsidR="00174B22" w:rsidRPr="005D6E93" w:rsidRDefault="00174B22" w:rsidP="00AB054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174B22" w:rsidRPr="005D6E93" w:rsidRDefault="00174B22" w:rsidP="00AB0542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Для детей </w:t>
            </w:r>
            <w:r w:rsidRPr="00C4227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граждан Российской Федерации,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</w:tr>
      <w:tr w:rsidR="00193872" w:rsidRPr="005D6E93" w:rsidTr="00FD06A3">
        <w:tc>
          <w:tcPr>
            <w:tcW w:w="10031" w:type="dxa"/>
            <w:gridSpan w:val="3"/>
            <w:shd w:val="clear" w:color="auto" w:fill="auto"/>
          </w:tcPr>
          <w:p w:rsidR="00193872" w:rsidRPr="005D6E93" w:rsidRDefault="00193872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Документы, представляемые заявителем, подтверждающие первоочередное получение путевки: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справка с места работы (службы) родителя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сотрудников полиции, детей, находящихся (находившихся) на иждивении;</w:t>
            </w:r>
          </w:p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сотрудников, имеющих специальные звания и проходящих службу в учреждениях и органах уголовно-исполнительной системы, Государственной противопожарной службы, органов по контролю за оборотом наркотических средств и психотропных веществ и таможенных органах Российской Федерации;</w:t>
            </w:r>
          </w:p>
          <w:p w:rsidR="005D6E93" w:rsidRPr="005D6E93" w:rsidRDefault="005D6E93" w:rsidP="005D6E93">
            <w:pPr>
              <w:widowControl w:val="0"/>
              <w:numPr>
                <w:ilvl w:val="0"/>
                <w:numId w:val="2"/>
              </w:numPr>
              <w:tabs>
                <w:tab w:val="left" w:pos="235"/>
              </w:tabs>
              <w:suppressAutoHyphens/>
              <w:autoSpaceDN w:val="0"/>
              <w:spacing w:after="200" w:line="276" w:lineRule="auto"/>
              <w:ind w:left="34" w:right="-57"/>
              <w:textAlignment w:val="baseline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военнослужащих по месту жительства их семей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справка, выдаваемая федеральными 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государственными учреждениями медико-социальной экспертизы, выписка из акта освидетельствования гражданина, признанного инвалидом, справка медицинской организации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193872">
            <w:pPr>
              <w:autoSpaceDE w:val="0"/>
              <w:autoSpaceDN w:val="0"/>
              <w:adjustRightInd w:val="0"/>
              <w:spacing w:after="0" w:line="276" w:lineRule="auto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Сведения об </w:t>
            </w:r>
            <w:r w:rsidRPr="005D6E93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инвалидности, содержащиеся в ФГИС ФРИ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235"/>
              </w:tabs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 xml:space="preserve">- Для детей-инвалидов и детей, один </w:t>
            </w: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из родителей которых является инвалидом;</w:t>
            </w:r>
          </w:p>
          <w:p w:rsidR="005D6E93" w:rsidRPr="005D6E93" w:rsidRDefault="005D6E93" w:rsidP="005D6E93">
            <w:pPr>
              <w:widowControl w:val="0"/>
              <w:tabs>
                <w:tab w:val="left" w:pos="235"/>
              </w:tabs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- для ВИЧ-инфицированных детей</w:t>
            </w:r>
          </w:p>
          <w:p w:rsidR="005D6E93" w:rsidRPr="005D6E93" w:rsidRDefault="005D6E93" w:rsidP="005D6E93">
            <w:pPr>
              <w:widowControl w:val="0"/>
              <w:tabs>
                <w:tab w:val="left" w:pos="235"/>
              </w:tabs>
              <w:spacing w:after="0" w:line="276" w:lineRule="auto"/>
              <w:ind w:left="34"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 xml:space="preserve">свидетельство о смерти; справка, подтверждающая, что сотрудник погиб (умер) в связи с осуществлением служебной деятельности либо умер до истечения одного года после увольнения со службы вследствие ранения (контузии), заболевания, полученного в период прохождения службы 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сотрудников полиции,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ГПС, органах по контролю за оборотом наркотических средств и психотропных веществ и таможенных органах РФ,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свидетельство о смерти;</w:t>
            </w:r>
          </w:p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справка, подтверждающая, что сотрудник умер вследствие заболевания, полученного в период прохождения службы, 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сотрудников полиции,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ГПС, органах по контролю за оборотом наркотических средств и психотропных веществ и таможенных органах РФ, умерших вследствие заболевания, полученного в период прохождения службы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приказ об увольнении сотрудника со службы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службы; справка, подтверждающая факт получения сотрудником в связи с осуществлением его служебной деятельности телесных повреждений, исключающих для него возможность дальнейшего прохождения службы 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граждан Российской Федерации, уволенных со службы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полиции, в учреждениях и органах уголовно-исполнительной системы, федеральной противопожарной службе ГПС, органах по контролю за оборотом наркотических средств и психотропных веществ и таможенных органах РФ</w:t>
            </w:r>
          </w:p>
        </w:tc>
      </w:tr>
      <w:tr w:rsidR="005D6E93" w:rsidRPr="005D6E93" w:rsidTr="004272F4">
        <w:tc>
          <w:tcPr>
            <w:tcW w:w="4390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left="142"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свидетельство о смерти; справка, подтверждающая, что сотрудник умер в течение одного года после увольнения со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службы, исключивших возможность дальнейшего прохождения службы </w:t>
            </w:r>
          </w:p>
        </w:tc>
        <w:tc>
          <w:tcPr>
            <w:tcW w:w="1496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76" w:lineRule="auto"/>
              <w:ind w:right="-57"/>
              <w:outlineLvl w:val="1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Копия и оригинал</w:t>
            </w:r>
          </w:p>
        </w:tc>
        <w:tc>
          <w:tcPr>
            <w:tcW w:w="4145" w:type="dxa"/>
            <w:shd w:val="clear" w:color="auto" w:fill="auto"/>
          </w:tcPr>
          <w:p w:rsidR="005D6E93" w:rsidRPr="005D6E93" w:rsidRDefault="005D6E93" w:rsidP="005D6E93">
            <w:pPr>
              <w:widowControl w:val="0"/>
              <w:spacing w:after="0" w:line="276" w:lineRule="auto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5D6E93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Для детей граждан Российской Федерации, умерших в течение одного года после увольнения со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службы, исключивших возможность дальнейшего прохождения службы в полиции, в учреждениях и органах уголовно-исполнительной системы, федеральной противопожарной службе ГПС, органах по контролю за оборотом наркотических средств и психотропных веществ и таможенных органах РФ</w:t>
            </w:r>
          </w:p>
        </w:tc>
      </w:tr>
    </w:tbl>
    <w:p w:rsidR="005D6E93" w:rsidRPr="005D6E93" w:rsidRDefault="005D6E93" w:rsidP="005D6E9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Calibri" w:hAnsi="Liberation Serif" w:cs="Liberation Serif"/>
          <w:b/>
          <w:bCs/>
          <w:color w:val="000000"/>
          <w:sz w:val="24"/>
          <w:szCs w:val="24"/>
        </w:rPr>
      </w:pPr>
    </w:p>
    <w:p w:rsidR="004272F4" w:rsidRPr="004272F4" w:rsidRDefault="004272F4" w:rsidP="004272F4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200" w:line="276" w:lineRule="auto"/>
        <w:ind w:left="142" w:firstLine="709"/>
        <w:contextualSpacing/>
        <w:jc w:val="both"/>
        <w:textAlignment w:val="baseline"/>
        <w:outlineLvl w:val="1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4272F4">
        <w:rPr>
          <w:rFonts w:ascii="Liberation Serif" w:eastAsia="Calibri" w:hAnsi="Liberation Serif" w:cs="Times New Roman"/>
          <w:color w:val="000000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органами (организациями), участвующими в предоставлении муниципальной услуги</w:t>
      </w:r>
      <w:r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представлен в таблице 2</w:t>
      </w:r>
      <w:r w:rsidRPr="004272F4">
        <w:rPr>
          <w:rFonts w:ascii="Liberation Serif" w:eastAsia="Calibri" w:hAnsi="Liberation Serif" w:cs="Times New Roman"/>
          <w:color w:val="000000"/>
          <w:sz w:val="24"/>
          <w:szCs w:val="24"/>
        </w:rPr>
        <w:t>.</w:t>
      </w:r>
    </w:p>
    <w:p w:rsidR="00BD04CB" w:rsidRDefault="00BD04CB" w:rsidP="00BD04CB">
      <w:pPr>
        <w:rPr>
          <w:rFonts w:ascii="Liberation Serif" w:eastAsia="Calibri" w:hAnsi="Liberation Serif" w:cs="Times New Roman"/>
          <w:color w:val="000000"/>
          <w:sz w:val="24"/>
          <w:szCs w:val="24"/>
        </w:rPr>
      </w:pPr>
    </w:p>
    <w:p w:rsidR="004272F4" w:rsidRPr="004272F4" w:rsidRDefault="004272F4" w:rsidP="00BD04CB">
      <w:pPr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4272F4">
        <w:rPr>
          <w:rFonts w:ascii="Liberation Serif" w:eastAsia="Calibri" w:hAnsi="Liberation Serif" w:cs="Times New Roman"/>
          <w:color w:val="000000"/>
          <w:sz w:val="24"/>
          <w:szCs w:val="24"/>
        </w:rPr>
        <w:t>Т а б л и ц а 2</w:t>
      </w:r>
    </w:p>
    <w:p w:rsidR="004272F4" w:rsidRPr="00EB5EAB" w:rsidRDefault="004272F4" w:rsidP="004272F4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5"/>
        <w:gridCol w:w="5108"/>
      </w:tblGrid>
      <w:tr w:rsidR="004272F4" w:rsidRPr="00186715" w:rsidTr="00E03D8E">
        <w:trPr>
          <w:tblHeader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186715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jc w:val="center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186715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jc w:val="center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186715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>Порядок, размер и основания взимания платы за услугу</w:t>
            </w:r>
          </w:p>
        </w:tc>
      </w:tr>
      <w:tr w:rsidR="004272F4" w:rsidRPr="00186715" w:rsidTr="00E03D8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0F4DB4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0F4DB4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Перевод документов, выданных компетентными органами иностранных государств, на государственный язык Российской Федерации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0F4DB4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0F4DB4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Услуга выполняется за счет заявителя организациями частной формы собственности и (или) индивидуальными предпринимателями по установленным ими расценкам или на договорной основе</w:t>
            </w:r>
          </w:p>
        </w:tc>
      </w:tr>
      <w:tr w:rsidR="004272F4" w:rsidRPr="00186715" w:rsidTr="00E03D8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2F4" w:rsidRPr="000F4DB4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0F4DB4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Нотариальное удостоверение документов, нотариальное свидетельствование верности перевода документов с одного языка на другой, нотариальное свидетельствование подлинности подписи на документе, нотариальное заверение копий документов, выдача нотариусом документов, необходимых заявителю для получения муниципальных услуг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0F4DB4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0F4DB4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Услуга предоставляется в государственных нотариальных конторах и у нотариусов, занимающихся частной практикой на платной основе.</w:t>
            </w:r>
          </w:p>
          <w:p w:rsidR="004272F4" w:rsidRPr="000F4DB4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0F4DB4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Размер и порядок взимания платы за совершение нотариальных действий установлен </w:t>
            </w:r>
            <w:hyperlink r:id="rId9" w:history="1">
              <w:r w:rsidRPr="000F4DB4">
                <w:rPr>
                  <w:rFonts w:eastAsia="Calibri" w:cs="Times New Roman"/>
                  <w:color w:val="000000"/>
                </w:rPr>
                <w:t>Основами</w:t>
              </w:r>
            </w:hyperlink>
            <w:r w:rsidRPr="000F4DB4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законодательства Российской Федерации о нотариате от 11.02.1993 № 4462-1</w:t>
            </w:r>
          </w:p>
        </w:tc>
      </w:tr>
      <w:tr w:rsidR="004272F4" w:rsidRPr="00186715" w:rsidTr="00E03D8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0F4DB4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0F4DB4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Оформление доверенности, приравненной к нотариально удостоверенной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2F4" w:rsidRPr="000F4DB4" w:rsidRDefault="004272F4" w:rsidP="009E188B">
            <w:pPr>
              <w:widowControl w:val="0"/>
              <w:autoSpaceDE w:val="0"/>
              <w:autoSpaceDN w:val="0"/>
              <w:spacing w:after="0" w:line="250" w:lineRule="exact"/>
              <w:ind w:left="57" w:right="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0F4DB4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Выдается одним лицом другому лицу для представительства перед третьими лицами в соответствии с </w:t>
            </w:r>
            <w:hyperlink r:id="rId10" w:history="1">
              <w:r w:rsidRPr="000F4DB4">
                <w:rPr>
                  <w:rFonts w:eastAsia="Calibri" w:cs="Times New Roman"/>
                  <w:color w:val="000000"/>
                </w:rPr>
                <w:t>пунктом 2 статьи 185.1</w:t>
              </w:r>
            </w:hyperlink>
            <w:r w:rsidRPr="000F4DB4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Гражданского кодекса Российской Федерации. Услуга предоставляется бесплатно</w:t>
            </w:r>
          </w:p>
        </w:tc>
      </w:tr>
    </w:tbl>
    <w:p w:rsidR="00194472" w:rsidRDefault="00194472" w:rsidP="004272F4">
      <w:pPr>
        <w:ind w:left="284" w:firstLine="142"/>
      </w:pPr>
    </w:p>
    <w:sectPr w:rsidR="00194472" w:rsidSect="00F675DA">
      <w:headerReference w:type="default" r:id="rId11"/>
      <w:pgSz w:w="11906" w:h="16838"/>
      <w:pgMar w:top="1134" w:right="566" w:bottom="1134" w:left="1418" w:header="720" w:footer="720" w:gutter="0"/>
      <w:pgNumType w:start="3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704" w:rsidRDefault="00160704">
      <w:pPr>
        <w:spacing w:after="0" w:line="240" w:lineRule="auto"/>
      </w:pPr>
      <w:r>
        <w:separator/>
      </w:r>
    </w:p>
  </w:endnote>
  <w:endnote w:type="continuationSeparator" w:id="0">
    <w:p w:rsidR="00160704" w:rsidRDefault="0016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704" w:rsidRDefault="00160704">
      <w:pPr>
        <w:spacing w:after="0" w:line="240" w:lineRule="auto"/>
      </w:pPr>
      <w:r>
        <w:separator/>
      </w:r>
    </w:p>
  </w:footnote>
  <w:footnote w:type="continuationSeparator" w:id="0">
    <w:p w:rsidR="00160704" w:rsidRDefault="00160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CCC" w:rsidRDefault="00123B81">
    <w:pPr>
      <w:pStyle w:val="a3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3F3057">
      <w:rPr>
        <w:rFonts w:ascii="Liberation Serif" w:hAnsi="Liberation Serif" w:cs="Liberation Serif"/>
        <w:noProof/>
        <w:sz w:val="28"/>
        <w:szCs w:val="28"/>
      </w:rPr>
      <w:t>40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FE1CCC" w:rsidRDefault="003F3057">
    <w:pPr>
      <w:pStyle w:val="a3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839"/>
    <w:multiLevelType w:val="multilevel"/>
    <w:tmpl w:val="5ABE7C96"/>
    <w:lvl w:ilvl="0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423103F"/>
    <w:multiLevelType w:val="hybridMultilevel"/>
    <w:tmpl w:val="DC58B650"/>
    <w:lvl w:ilvl="0" w:tplc="4A180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CC7"/>
    <w:rsid w:val="00014911"/>
    <w:rsid w:val="000F4DB4"/>
    <w:rsid w:val="00123B81"/>
    <w:rsid w:val="00160704"/>
    <w:rsid w:val="00174B22"/>
    <w:rsid w:val="00193872"/>
    <w:rsid w:val="00194472"/>
    <w:rsid w:val="00202CD2"/>
    <w:rsid w:val="00247A35"/>
    <w:rsid w:val="002D6EAE"/>
    <w:rsid w:val="003D69C1"/>
    <w:rsid w:val="003F3057"/>
    <w:rsid w:val="00415237"/>
    <w:rsid w:val="004272F4"/>
    <w:rsid w:val="005D5368"/>
    <w:rsid w:val="005D6E93"/>
    <w:rsid w:val="006006D5"/>
    <w:rsid w:val="006E4245"/>
    <w:rsid w:val="006E7C2F"/>
    <w:rsid w:val="00793BE3"/>
    <w:rsid w:val="007A1E84"/>
    <w:rsid w:val="007B21DB"/>
    <w:rsid w:val="007B58F6"/>
    <w:rsid w:val="008F25EB"/>
    <w:rsid w:val="00910E7C"/>
    <w:rsid w:val="009E30E0"/>
    <w:rsid w:val="00A23FDB"/>
    <w:rsid w:val="00A403B1"/>
    <w:rsid w:val="00A47C81"/>
    <w:rsid w:val="00A95A97"/>
    <w:rsid w:val="00AA14BD"/>
    <w:rsid w:val="00B20A24"/>
    <w:rsid w:val="00B55192"/>
    <w:rsid w:val="00B977D7"/>
    <w:rsid w:val="00BD04CB"/>
    <w:rsid w:val="00BE0FF4"/>
    <w:rsid w:val="00C42271"/>
    <w:rsid w:val="00C96634"/>
    <w:rsid w:val="00D21ABC"/>
    <w:rsid w:val="00E03D8E"/>
    <w:rsid w:val="00E20D8B"/>
    <w:rsid w:val="00EF4412"/>
    <w:rsid w:val="00F45B80"/>
    <w:rsid w:val="00F45F45"/>
    <w:rsid w:val="00F56F37"/>
    <w:rsid w:val="00F675DA"/>
    <w:rsid w:val="00FA5AF4"/>
    <w:rsid w:val="00FF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6E93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4">
    <w:name w:val="Верхний колонтитул Знак"/>
    <w:basedOn w:val="a0"/>
    <w:link w:val="a3"/>
    <w:rsid w:val="005D6E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5">
    <w:name w:val="Hyperlink"/>
    <w:basedOn w:val="a0"/>
    <w:uiPriority w:val="99"/>
    <w:semiHidden/>
    <w:unhideWhenUsed/>
    <w:rsid w:val="004272F4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F67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7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6E93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4">
    <w:name w:val="Верхний колонтитул Знак"/>
    <w:basedOn w:val="a0"/>
    <w:link w:val="a3"/>
    <w:rsid w:val="005D6E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5">
    <w:name w:val="Hyperlink"/>
    <w:basedOn w:val="a0"/>
    <w:uiPriority w:val="99"/>
    <w:semiHidden/>
    <w:unhideWhenUsed/>
    <w:rsid w:val="004272F4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F67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7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6874B8CBF39584B1DA7B168883E835DEAD62D245976399D1A6A388E2206E4DACD1AF9C9FB3F4B4D820E06B2FCC9708DCCCEE83817RDo5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874B8CBF39584B1DA7B168883E835DEAD52F265F70399D1A6A388E2206E4DADF1AA1C0FC335E19DB5451BFFERCo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2F4A9-2F2B-4403-BE92-8A2814E8F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Ващенко Юлия Александровна</cp:lastModifiedBy>
  <cp:revision>2</cp:revision>
  <dcterms:created xsi:type="dcterms:W3CDTF">2025-01-13T04:02:00Z</dcterms:created>
  <dcterms:modified xsi:type="dcterms:W3CDTF">2025-01-13T04:02:00Z</dcterms:modified>
</cp:coreProperties>
</file>