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EA7" w:rsidRPr="001A7EA7" w:rsidRDefault="001A7EA7" w:rsidP="001A7EA7">
      <w:pPr>
        <w:suppressAutoHyphens w:val="0"/>
        <w:autoSpaceDN/>
        <w:jc w:val="center"/>
        <w:textAlignment w:val="auto"/>
      </w:pPr>
      <w:r>
        <w:rPr>
          <w:noProof/>
        </w:rPr>
        <w:drawing>
          <wp:inline distT="0" distB="0" distL="0" distR="0">
            <wp:extent cx="704850" cy="72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EA7" w:rsidRPr="001A7EA7" w:rsidRDefault="001A7EA7" w:rsidP="001A7EA7">
      <w:pPr>
        <w:suppressAutoHyphens w:val="0"/>
        <w:autoSpaceDN/>
        <w:jc w:val="center"/>
        <w:textAlignment w:val="auto"/>
        <w:rPr>
          <w:b/>
          <w:w w:val="150"/>
          <w:sz w:val="18"/>
          <w:szCs w:val="18"/>
        </w:rPr>
      </w:pPr>
      <w:r w:rsidRPr="001A7EA7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1A7EA7" w:rsidRPr="001A7EA7" w:rsidRDefault="001A7EA7" w:rsidP="001A7EA7">
      <w:pPr>
        <w:suppressAutoHyphens w:val="0"/>
        <w:autoSpaceDN/>
        <w:jc w:val="center"/>
        <w:textAlignment w:val="auto"/>
        <w:rPr>
          <w:b/>
          <w:w w:val="160"/>
          <w:sz w:val="36"/>
          <w:szCs w:val="20"/>
        </w:rPr>
      </w:pPr>
      <w:r w:rsidRPr="001A7EA7">
        <w:rPr>
          <w:b/>
          <w:w w:val="160"/>
          <w:sz w:val="36"/>
          <w:szCs w:val="20"/>
        </w:rPr>
        <w:t>ПОСТАНОВЛЕНИЕ</w:t>
      </w:r>
    </w:p>
    <w:p w:rsidR="001A7EA7" w:rsidRPr="001A7EA7" w:rsidRDefault="001A7EA7" w:rsidP="001A7EA7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</w:p>
    <w:p w:rsidR="001A7EA7" w:rsidRPr="001A7EA7" w:rsidRDefault="001A7EA7" w:rsidP="001A7EA7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</w:p>
    <w:p w:rsidR="001A7EA7" w:rsidRPr="001A7EA7" w:rsidRDefault="001A7EA7" w:rsidP="001A7EA7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  <w:r>
        <w:rPr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32385" t="31115" r="34290" b="355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3"/>
        <w:gridCol w:w="3278"/>
        <w:gridCol w:w="3283"/>
      </w:tblGrid>
      <w:tr w:rsidR="001A7EA7" w:rsidRPr="001A7EA7" w:rsidTr="00365452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A7EA7" w:rsidRPr="001A7EA7" w:rsidRDefault="001A7EA7" w:rsidP="001A7EA7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24.04.2025</w:t>
            </w:r>
          </w:p>
        </w:tc>
        <w:tc>
          <w:tcPr>
            <w:tcW w:w="3322" w:type="dxa"/>
            <w:shd w:val="clear" w:color="auto" w:fill="auto"/>
            <w:vAlign w:val="bottom"/>
          </w:tcPr>
          <w:p w:rsidR="001A7EA7" w:rsidRPr="001A7EA7" w:rsidRDefault="001A7EA7" w:rsidP="001A7EA7">
            <w:pPr>
              <w:tabs>
                <w:tab w:val="left" w:pos="7020"/>
              </w:tabs>
              <w:suppressAutoHyphens w:val="0"/>
              <w:autoSpaceDN/>
              <w:ind w:right="31"/>
              <w:jc w:val="right"/>
              <w:textAlignment w:val="auto"/>
              <w:outlineLvl w:val="0"/>
              <w:rPr>
                <w:sz w:val="28"/>
                <w:szCs w:val="28"/>
              </w:rPr>
            </w:pPr>
            <w:r w:rsidRPr="001A7EA7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A7EA7" w:rsidRPr="001A7EA7" w:rsidRDefault="001A7EA7" w:rsidP="001A7EA7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1166</w:t>
            </w:r>
          </w:p>
        </w:tc>
      </w:tr>
    </w:tbl>
    <w:p w:rsidR="001A7EA7" w:rsidRPr="001A7EA7" w:rsidRDefault="001A7EA7" w:rsidP="001A7EA7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</w:rPr>
      </w:pPr>
    </w:p>
    <w:p w:rsidR="001A7EA7" w:rsidRPr="001A7EA7" w:rsidRDefault="001A7EA7" w:rsidP="001A7EA7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</w:rPr>
      </w:pPr>
      <w:r w:rsidRPr="001A7EA7">
        <w:rPr>
          <w:sz w:val="28"/>
          <w:szCs w:val="28"/>
        </w:rPr>
        <w:t>г. Первоуральск</w:t>
      </w:r>
    </w:p>
    <w:tbl>
      <w:tblPr>
        <w:tblW w:w="922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499"/>
        <w:gridCol w:w="4748"/>
      </w:tblGrid>
      <w:tr w:rsidR="00B84774" w:rsidRPr="002C1F64" w:rsidTr="001A7EA7">
        <w:tc>
          <w:tcPr>
            <w:tcW w:w="3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774" w:rsidRPr="00B50983" w:rsidRDefault="00B84774" w:rsidP="00CC2E1C">
            <w:pPr>
              <w:spacing w:line="216" w:lineRule="auto"/>
              <w:jc w:val="both"/>
              <w:rPr>
                <w:rFonts w:ascii="Liberation Serif" w:hAnsi="Liberation Serif"/>
                <w:bCs/>
              </w:rPr>
            </w:pPr>
          </w:p>
          <w:p w:rsidR="00B84774" w:rsidRPr="00B50983" w:rsidRDefault="00B84774" w:rsidP="00CC2E1C">
            <w:pPr>
              <w:spacing w:line="216" w:lineRule="auto"/>
              <w:jc w:val="both"/>
              <w:rPr>
                <w:rFonts w:ascii="Liberation Serif" w:hAnsi="Liberation Serif"/>
                <w:bCs/>
              </w:rPr>
            </w:pPr>
          </w:p>
          <w:p w:rsidR="00B84774" w:rsidRPr="00B50983" w:rsidRDefault="003C7F3B" w:rsidP="003C7F3B">
            <w:pPr>
              <w:jc w:val="both"/>
              <w:rPr>
                <w:rFonts w:ascii="Liberation Serif" w:hAnsi="Liberation Serif"/>
                <w:bCs/>
                <w:iCs/>
              </w:rPr>
            </w:pPr>
            <w:r w:rsidRPr="002C1F64">
              <w:rPr>
                <w:rFonts w:ascii="Liberation Serif" w:hAnsi="Liberation Serif"/>
                <w:bCs/>
                <w:iCs/>
              </w:rPr>
              <w:t xml:space="preserve">Об утверждении порядка осуществления </w:t>
            </w:r>
            <w:proofErr w:type="gramStart"/>
            <w:r w:rsidRPr="002C1F64">
              <w:rPr>
                <w:rFonts w:ascii="Liberation Serif" w:hAnsi="Liberation Serif"/>
                <w:bCs/>
                <w:iCs/>
              </w:rPr>
              <w:t>контроля за</w:t>
            </w:r>
            <w:proofErr w:type="gramEnd"/>
            <w:r w:rsidRPr="002C1F64">
              <w:rPr>
                <w:rFonts w:ascii="Liberation Serif" w:hAnsi="Liberation Serif"/>
                <w:bCs/>
                <w:iCs/>
              </w:rPr>
              <w:t xml:space="preserve"> исполнением собственниками объектов, на которых планируется проведение массовых культурных и спортивных мероприятий, требований антитеррористической защищенности </w:t>
            </w:r>
          </w:p>
        </w:tc>
        <w:tc>
          <w:tcPr>
            <w:tcW w:w="4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4774" w:rsidRPr="002C1F64" w:rsidRDefault="00B84774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7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4774" w:rsidRPr="002C1F64" w:rsidRDefault="00B84774">
            <w:pPr>
              <w:jc w:val="both"/>
              <w:rPr>
                <w:rFonts w:ascii="Liberation Serif" w:hAnsi="Liberation Serif"/>
                <w:bCs/>
              </w:rPr>
            </w:pPr>
          </w:p>
        </w:tc>
      </w:tr>
    </w:tbl>
    <w:p w:rsidR="00B84774" w:rsidRPr="00B50983" w:rsidRDefault="00B84774">
      <w:pPr>
        <w:rPr>
          <w:rFonts w:ascii="Liberation Serif" w:hAnsi="Liberation Serif"/>
        </w:rPr>
      </w:pPr>
    </w:p>
    <w:p w:rsidR="00B84774" w:rsidRPr="00B50983" w:rsidRDefault="00B84774">
      <w:pPr>
        <w:pStyle w:val="a3"/>
        <w:rPr>
          <w:rFonts w:ascii="Liberation Serif" w:hAnsi="Liberation Serif"/>
        </w:rPr>
      </w:pPr>
    </w:p>
    <w:p w:rsidR="00B84774" w:rsidRPr="00B50983" w:rsidRDefault="00B84774">
      <w:pPr>
        <w:pStyle w:val="a3"/>
        <w:rPr>
          <w:rFonts w:ascii="Liberation Serif" w:hAnsi="Liberation Serif"/>
        </w:rPr>
      </w:pPr>
    </w:p>
    <w:p w:rsidR="00B84774" w:rsidRPr="00B50983" w:rsidRDefault="00B84774">
      <w:pPr>
        <w:pStyle w:val="a3"/>
        <w:rPr>
          <w:rFonts w:ascii="Liberation Serif" w:hAnsi="Liberation Serif"/>
        </w:rPr>
      </w:pPr>
    </w:p>
    <w:p w:rsidR="00B84774" w:rsidRPr="002C1F64" w:rsidRDefault="00A133C0">
      <w:pPr>
        <w:ind w:firstLine="709"/>
        <w:jc w:val="both"/>
        <w:rPr>
          <w:rFonts w:ascii="Liberation Serif" w:hAnsi="Liberation Serif"/>
          <w:bCs/>
        </w:rPr>
      </w:pPr>
      <w:proofErr w:type="gramStart"/>
      <w:r w:rsidRPr="002C1F64">
        <w:rPr>
          <w:rFonts w:ascii="Liberation Serif" w:hAnsi="Liberation Serif"/>
          <w:bCs/>
        </w:rPr>
        <w:t>В целях принятия дополнительных мер по обеспечению контроля за неукоснительным соблюдением требований антитеррористической защищенности объектов при проведении на них массовых мероприятий</w:t>
      </w:r>
      <w:proofErr w:type="gramEnd"/>
      <w:r w:rsidRPr="002C1F64">
        <w:rPr>
          <w:rFonts w:ascii="Liberation Serif" w:hAnsi="Liberation Serif"/>
          <w:bCs/>
        </w:rPr>
        <w:t xml:space="preserve"> на территории муниципального округа Первоуральск, во исполнение пункт</w:t>
      </w:r>
      <w:r w:rsidR="00283E22">
        <w:rPr>
          <w:rFonts w:ascii="Liberation Serif" w:hAnsi="Liberation Serif"/>
          <w:bCs/>
        </w:rPr>
        <w:t>а</w:t>
      </w:r>
      <w:r w:rsidRPr="002C1F64">
        <w:rPr>
          <w:rFonts w:ascii="Liberation Serif" w:hAnsi="Liberation Serif"/>
          <w:bCs/>
        </w:rPr>
        <w:t xml:space="preserve"> </w:t>
      </w:r>
      <w:r w:rsidR="003678ED">
        <w:rPr>
          <w:rFonts w:ascii="Liberation Serif" w:hAnsi="Liberation Serif"/>
          <w:bCs/>
        </w:rPr>
        <w:t>19</w:t>
      </w:r>
      <w:r w:rsidRPr="002C1F64">
        <w:rPr>
          <w:rFonts w:ascii="Liberation Serif" w:hAnsi="Liberation Serif"/>
          <w:bCs/>
        </w:rPr>
        <w:t xml:space="preserve"> протокола внеочередного совместного заседания антитеррористической комиссии в Свердловской области № 1 от 31 января 2025 года, Администрация муниципального округа Первоуральск </w:t>
      </w:r>
    </w:p>
    <w:p w:rsidR="00B84774" w:rsidRPr="00B50983" w:rsidRDefault="00B84774">
      <w:pPr>
        <w:jc w:val="both"/>
        <w:rPr>
          <w:rFonts w:ascii="Liberation Serif" w:hAnsi="Liberation Serif"/>
          <w:bCs/>
        </w:rPr>
      </w:pPr>
    </w:p>
    <w:p w:rsidR="00B84774" w:rsidRPr="00B50983" w:rsidRDefault="00B84774">
      <w:pPr>
        <w:jc w:val="both"/>
        <w:rPr>
          <w:rFonts w:ascii="Liberation Serif" w:hAnsi="Liberation Serif"/>
          <w:bCs/>
        </w:rPr>
      </w:pPr>
    </w:p>
    <w:p w:rsidR="00B84774" w:rsidRPr="002C1F64" w:rsidRDefault="003C474F">
      <w:pPr>
        <w:jc w:val="both"/>
        <w:rPr>
          <w:rFonts w:ascii="Liberation Serif" w:hAnsi="Liberation Serif"/>
          <w:bCs/>
        </w:rPr>
      </w:pPr>
      <w:r w:rsidRPr="002C1F64">
        <w:rPr>
          <w:rFonts w:ascii="Liberation Serif" w:hAnsi="Liberation Serif"/>
          <w:bCs/>
        </w:rPr>
        <w:t>ПОСТАНОВЛЯ</w:t>
      </w:r>
      <w:r w:rsidR="00A133C0" w:rsidRPr="002C1F64">
        <w:rPr>
          <w:rFonts w:ascii="Liberation Serif" w:hAnsi="Liberation Serif"/>
          <w:bCs/>
        </w:rPr>
        <w:t>ЕТ</w:t>
      </w:r>
      <w:r w:rsidRPr="002C1F64">
        <w:rPr>
          <w:rFonts w:ascii="Liberation Serif" w:hAnsi="Liberation Serif"/>
          <w:bCs/>
        </w:rPr>
        <w:t>:</w:t>
      </w:r>
    </w:p>
    <w:p w:rsidR="00B84774" w:rsidRPr="002C1F64" w:rsidRDefault="00A133C0" w:rsidP="00A133C0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 w:rsidRPr="002C1F64">
        <w:rPr>
          <w:rFonts w:ascii="Liberation Serif" w:hAnsi="Liberation Serif"/>
          <w:sz w:val="24"/>
          <w:szCs w:val="24"/>
        </w:rPr>
        <w:t xml:space="preserve">Утвердить </w:t>
      </w:r>
      <w:r w:rsidR="00283E22">
        <w:rPr>
          <w:rFonts w:ascii="Liberation Serif" w:hAnsi="Liberation Serif"/>
          <w:sz w:val="24"/>
          <w:szCs w:val="24"/>
        </w:rPr>
        <w:t>п</w:t>
      </w:r>
      <w:r w:rsidRPr="002C1F64">
        <w:rPr>
          <w:rFonts w:ascii="Liberation Serif" w:hAnsi="Liberation Serif"/>
          <w:sz w:val="24"/>
          <w:szCs w:val="24"/>
        </w:rPr>
        <w:t xml:space="preserve">орядок осуществления </w:t>
      </w:r>
      <w:proofErr w:type="gramStart"/>
      <w:r w:rsidRPr="002C1F64">
        <w:rPr>
          <w:rFonts w:ascii="Liberation Serif" w:hAnsi="Liberation Serif"/>
          <w:sz w:val="24"/>
          <w:szCs w:val="24"/>
        </w:rPr>
        <w:t>контроля за</w:t>
      </w:r>
      <w:proofErr w:type="gramEnd"/>
      <w:r w:rsidRPr="002C1F64">
        <w:rPr>
          <w:rFonts w:ascii="Liberation Serif" w:hAnsi="Liberation Serif"/>
          <w:sz w:val="24"/>
          <w:szCs w:val="24"/>
        </w:rPr>
        <w:t xml:space="preserve"> исполнением собственниками объектов, на которых планируется проведение массовых культурных и спортивных мероприятий, требовани</w:t>
      </w:r>
      <w:r w:rsidR="00D571CF">
        <w:rPr>
          <w:rFonts w:ascii="Liberation Serif" w:hAnsi="Liberation Serif"/>
          <w:sz w:val="24"/>
          <w:szCs w:val="24"/>
        </w:rPr>
        <w:t>й</w:t>
      </w:r>
      <w:r w:rsidR="003678ED">
        <w:rPr>
          <w:rFonts w:ascii="Liberation Serif" w:hAnsi="Liberation Serif"/>
          <w:sz w:val="24"/>
          <w:szCs w:val="24"/>
        </w:rPr>
        <w:t xml:space="preserve"> </w:t>
      </w:r>
      <w:r w:rsidRPr="002C1F64">
        <w:rPr>
          <w:rFonts w:ascii="Liberation Serif" w:hAnsi="Liberation Serif"/>
          <w:sz w:val="24"/>
          <w:szCs w:val="24"/>
        </w:rPr>
        <w:t>пункт</w:t>
      </w:r>
      <w:r w:rsidR="00D571CF">
        <w:rPr>
          <w:rFonts w:ascii="Liberation Serif" w:hAnsi="Liberation Serif"/>
          <w:sz w:val="24"/>
          <w:szCs w:val="24"/>
        </w:rPr>
        <w:t>а</w:t>
      </w:r>
      <w:r w:rsidRPr="002C1F64">
        <w:rPr>
          <w:rFonts w:ascii="Liberation Serif" w:hAnsi="Liberation Serif"/>
          <w:sz w:val="24"/>
          <w:szCs w:val="24"/>
        </w:rPr>
        <w:t xml:space="preserve"> 24 протокола внеочередного заседания антитеррористической комиссии в Свердловской области </w:t>
      </w:r>
      <w:r w:rsidRPr="002C1F64">
        <w:rPr>
          <w:rFonts w:ascii="Liberation Serif" w:hAnsi="Liberation Serif"/>
          <w:bCs/>
          <w:sz w:val="24"/>
          <w:szCs w:val="24"/>
        </w:rPr>
        <w:t>№ 1 от 31 января 2025 года</w:t>
      </w:r>
      <w:r w:rsidRPr="002C1F64">
        <w:rPr>
          <w:rFonts w:ascii="Liberation Serif" w:hAnsi="Liberation Serif"/>
          <w:sz w:val="24"/>
          <w:szCs w:val="24"/>
        </w:rPr>
        <w:t xml:space="preserve"> (далее - Порядок) согласно приложению</w:t>
      </w:r>
      <w:r w:rsidR="003C474F" w:rsidRPr="002C1F64">
        <w:rPr>
          <w:rFonts w:ascii="Liberation Serif" w:hAnsi="Liberation Serif"/>
          <w:sz w:val="24"/>
          <w:szCs w:val="24"/>
        </w:rPr>
        <w:t xml:space="preserve">. </w:t>
      </w:r>
    </w:p>
    <w:p w:rsidR="00A133C0" w:rsidRPr="002C1F64" w:rsidRDefault="00A133C0" w:rsidP="00A133C0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2C1F64">
        <w:rPr>
          <w:rFonts w:ascii="Liberation Serif" w:hAnsi="Liberation Serif"/>
          <w:sz w:val="24"/>
          <w:szCs w:val="24"/>
        </w:rPr>
        <w:t xml:space="preserve">Начальнику Управления образования муниципального округа Первоуральск </w:t>
      </w:r>
      <w:r w:rsidR="004E0EFD">
        <w:rPr>
          <w:rFonts w:ascii="Liberation Serif" w:hAnsi="Liberation Serif"/>
          <w:sz w:val="24"/>
          <w:szCs w:val="24"/>
        </w:rPr>
        <w:t>(</w:t>
      </w:r>
      <w:r w:rsidRPr="002C1F64">
        <w:rPr>
          <w:rFonts w:ascii="Liberation Serif" w:hAnsi="Liberation Serif"/>
          <w:sz w:val="24"/>
          <w:szCs w:val="24"/>
        </w:rPr>
        <w:t>О.Н. Коршунов</w:t>
      </w:r>
      <w:r w:rsidR="004E0EFD">
        <w:rPr>
          <w:rFonts w:ascii="Liberation Serif" w:hAnsi="Liberation Serif"/>
          <w:sz w:val="24"/>
          <w:szCs w:val="24"/>
        </w:rPr>
        <w:t>а)</w:t>
      </w:r>
      <w:r w:rsidRPr="002C1F64">
        <w:rPr>
          <w:rFonts w:ascii="Liberation Serif" w:hAnsi="Liberation Serif"/>
          <w:sz w:val="24"/>
          <w:szCs w:val="24"/>
        </w:rPr>
        <w:t xml:space="preserve">, начальнику управления культуры, физической культуры и спорта Администрации муниципального округа Первоуральск </w:t>
      </w:r>
      <w:r w:rsidR="004E0EFD">
        <w:rPr>
          <w:rFonts w:ascii="Liberation Serif" w:hAnsi="Liberation Serif"/>
          <w:sz w:val="24"/>
          <w:szCs w:val="24"/>
        </w:rPr>
        <w:t>(</w:t>
      </w:r>
      <w:r w:rsidRPr="002C1F64">
        <w:rPr>
          <w:rFonts w:ascii="Liberation Serif" w:hAnsi="Liberation Serif"/>
          <w:sz w:val="24"/>
          <w:szCs w:val="24"/>
        </w:rPr>
        <w:t>А.В. Башкиров</w:t>
      </w:r>
      <w:r w:rsidR="004E0EFD">
        <w:rPr>
          <w:rFonts w:ascii="Liberation Serif" w:hAnsi="Liberation Serif"/>
          <w:sz w:val="24"/>
          <w:szCs w:val="24"/>
        </w:rPr>
        <w:t>а)</w:t>
      </w:r>
      <w:r w:rsidRPr="002C1F64">
        <w:rPr>
          <w:rFonts w:ascii="Liberation Serif" w:hAnsi="Liberation Serif"/>
          <w:sz w:val="24"/>
          <w:szCs w:val="24"/>
        </w:rPr>
        <w:t>, индивидуальным предпринимателям и юридическим лицам (собственникам объектов, на которых планируется проведение массовых культурных и спортивных мероприятий), организовать работу по</w:t>
      </w:r>
      <w:r w:rsidR="00706D9D">
        <w:rPr>
          <w:rFonts w:ascii="Liberation Serif" w:hAnsi="Liberation Serif"/>
          <w:sz w:val="24"/>
          <w:szCs w:val="24"/>
        </w:rPr>
        <w:t> </w:t>
      </w:r>
      <w:r w:rsidRPr="002C1F64">
        <w:rPr>
          <w:rFonts w:ascii="Liberation Serif" w:hAnsi="Liberation Serif"/>
          <w:sz w:val="24"/>
          <w:szCs w:val="24"/>
        </w:rPr>
        <w:t>соблюдению требований антитеррористической защищенности объектов</w:t>
      </w:r>
      <w:r w:rsidR="00D571CF">
        <w:rPr>
          <w:rFonts w:ascii="Liberation Serif" w:hAnsi="Liberation Serif"/>
          <w:sz w:val="24"/>
          <w:szCs w:val="24"/>
        </w:rPr>
        <w:t xml:space="preserve"> (территорий)</w:t>
      </w:r>
      <w:r w:rsidRPr="002C1F64">
        <w:rPr>
          <w:rFonts w:ascii="Liberation Serif" w:hAnsi="Liberation Serif"/>
          <w:sz w:val="24"/>
          <w:szCs w:val="24"/>
        </w:rPr>
        <w:t xml:space="preserve"> при проведении на них массовых мероприятий на территории </w:t>
      </w:r>
      <w:r w:rsidR="00720D42" w:rsidRPr="002C1F64">
        <w:rPr>
          <w:rFonts w:ascii="Liberation Serif" w:hAnsi="Liberation Serif"/>
          <w:sz w:val="24"/>
          <w:szCs w:val="24"/>
        </w:rPr>
        <w:t>муниципального округа</w:t>
      </w:r>
      <w:proofErr w:type="gramEnd"/>
      <w:r w:rsidR="00720D42" w:rsidRPr="002C1F64">
        <w:rPr>
          <w:rFonts w:ascii="Liberation Serif" w:hAnsi="Liberation Serif"/>
          <w:sz w:val="24"/>
          <w:szCs w:val="24"/>
        </w:rPr>
        <w:t xml:space="preserve"> Первоуральск </w:t>
      </w:r>
      <w:r w:rsidRPr="002C1F64">
        <w:rPr>
          <w:rFonts w:ascii="Liberation Serif" w:hAnsi="Liberation Serif"/>
          <w:sz w:val="24"/>
          <w:szCs w:val="24"/>
        </w:rPr>
        <w:t>в</w:t>
      </w:r>
      <w:r w:rsidR="00706D9D">
        <w:rPr>
          <w:rFonts w:ascii="Liberation Serif" w:hAnsi="Liberation Serif"/>
          <w:sz w:val="24"/>
          <w:szCs w:val="24"/>
        </w:rPr>
        <w:t> </w:t>
      </w:r>
      <w:r w:rsidRPr="002C1F64">
        <w:rPr>
          <w:rFonts w:ascii="Liberation Serif" w:hAnsi="Liberation Serif"/>
          <w:sz w:val="24"/>
          <w:szCs w:val="24"/>
        </w:rPr>
        <w:t>соответствии с Порядком</w:t>
      </w:r>
      <w:r w:rsidR="00720D42" w:rsidRPr="002C1F64">
        <w:rPr>
          <w:rFonts w:ascii="Liberation Serif" w:hAnsi="Liberation Serif"/>
          <w:sz w:val="24"/>
          <w:szCs w:val="24"/>
        </w:rPr>
        <w:t>.</w:t>
      </w:r>
    </w:p>
    <w:p w:rsidR="00B84774" w:rsidRPr="002C1F64" w:rsidRDefault="003C474F" w:rsidP="00A133C0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 w:rsidRPr="002C1F64">
        <w:rPr>
          <w:rFonts w:ascii="Liberation Serif" w:hAnsi="Liberation Serif"/>
          <w:sz w:val="24"/>
          <w:szCs w:val="24"/>
        </w:rPr>
        <w:t xml:space="preserve">Настоящее постановление разместить на официальном сайте </w:t>
      </w:r>
      <w:r w:rsidR="008E1DD4" w:rsidRPr="002C1F64">
        <w:rPr>
          <w:rFonts w:ascii="Liberation Serif" w:hAnsi="Liberation Serif"/>
          <w:sz w:val="24"/>
          <w:szCs w:val="24"/>
        </w:rPr>
        <w:t>муниципального</w:t>
      </w:r>
      <w:r w:rsidRPr="002C1F64">
        <w:rPr>
          <w:rFonts w:ascii="Liberation Serif" w:hAnsi="Liberation Serif"/>
          <w:sz w:val="24"/>
          <w:szCs w:val="24"/>
        </w:rPr>
        <w:t xml:space="preserve"> округа Первоуральск.</w:t>
      </w:r>
    </w:p>
    <w:p w:rsidR="00B84774" w:rsidRPr="002C1F64" w:rsidRDefault="002C1F64" w:rsidP="00A133C0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2C1F64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Pr="002C1F64">
        <w:rPr>
          <w:rFonts w:ascii="Liberation Serif" w:hAnsi="Liberation Serif"/>
          <w:sz w:val="24"/>
          <w:szCs w:val="24"/>
        </w:rPr>
        <w:t xml:space="preserve"> исполнением настоящего постановления возложить на заместителя Главы муниципального округа Первоуральск по взаимодействию с органами государственной власти и общественными организациями В.А. </w:t>
      </w:r>
      <w:proofErr w:type="spellStart"/>
      <w:r w:rsidRPr="002C1F64">
        <w:rPr>
          <w:rFonts w:ascii="Liberation Serif" w:hAnsi="Liberation Serif"/>
          <w:sz w:val="24"/>
          <w:szCs w:val="24"/>
        </w:rPr>
        <w:t>Таммана</w:t>
      </w:r>
      <w:proofErr w:type="spellEnd"/>
      <w:r w:rsidR="003C474F" w:rsidRPr="002C1F64">
        <w:rPr>
          <w:rFonts w:ascii="Liberation Serif" w:hAnsi="Liberation Serif"/>
          <w:sz w:val="24"/>
          <w:szCs w:val="24"/>
        </w:rPr>
        <w:t>.</w:t>
      </w:r>
    </w:p>
    <w:p w:rsidR="00B84774" w:rsidRPr="00B50983" w:rsidRDefault="00B84774" w:rsidP="00B50983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B84774" w:rsidRPr="00B50983" w:rsidRDefault="00B84774" w:rsidP="00B50983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B50983" w:rsidRPr="00B50983" w:rsidRDefault="00B50983" w:rsidP="00B50983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B84774" w:rsidRPr="00B50983" w:rsidRDefault="00B84774" w:rsidP="00B50983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310583" w:rsidRPr="002C1F64" w:rsidRDefault="00310583">
      <w:pPr>
        <w:pStyle w:val="3"/>
        <w:tabs>
          <w:tab w:val="right" w:pos="9638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2C1F64">
        <w:rPr>
          <w:rFonts w:ascii="Liberation Serif" w:hAnsi="Liberation Serif"/>
          <w:sz w:val="24"/>
          <w:szCs w:val="24"/>
        </w:rPr>
        <w:t>И.о</w:t>
      </w:r>
      <w:proofErr w:type="spellEnd"/>
      <w:r w:rsidRPr="002C1F64">
        <w:rPr>
          <w:rFonts w:ascii="Liberation Serif" w:hAnsi="Liberation Serif"/>
          <w:sz w:val="24"/>
          <w:szCs w:val="24"/>
        </w:rPr>
        <w:t>. Главы муниципального округа Первоуральск, </w:t>
      </w:r>
    </w:p>
    <w:p w:rsidR="00B84774" w:rsidRPr="002C1F64" w:rsidRDefault="00310583">
      <w:pPr>
        <w:pStyle w:val="3"/>
        <w:tabs>
          <w:tab w:val="right" w:pos="9638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  <w:r w:rsidRPr="002C1F64">
        <w:rPr>
          <w:rFonts w:ascii="Liberation Serif" w:hAnsi="Liberation Serif"/>
          <w:sz w:val="24"/>
          <w:szCs w:val="24"/>
        </w:rPr>
        <w:t>заместитель Главы по финансово-экономической политике</w:t>
      </w:r>
      <w:r w:rsidR="003C474F" w:rsidRPr="002C1F64">
        <w:rPr>
          <w:rFonts w:ascii="Liberation Serif" w:hAnsi="Liberation Serif"/>
          <w:sz w:val="24"/>
          <w:szCs w:val="24"/>
        </w:rPr>
        <w:t xml:space="preserve"> </w:t>
      </w:r>
      <w:r w:rsidR="003C474F" w:rsidRPr="002C1F64">
        <w:rPr>
          <w:rFonts w:ascii="Liberation Serif" w:hAnsi="Liberation Serif"/>
          <w:sz w:val="24"/>
          <w:szCs w:val="24"/>
        </w:rPr>
        <w:tab/>
      </w:r>
      <w:r w:rsidRPr="002C1F64">
        <w:rPr>
          <w:rFonts w:ascii="Liberation Serif" w:hAnsi="Liberation Serif"/>
          <w:sz w:val="24"/>
          <w:szCs w:val="24"/>
        </w:rPr>
        <w:t>М.Ю. Ярославцева</w:t>
      </w:r>
    </w:p>
    <w:tbl>
      <w:tblPr>
        <w:tblW w:w="19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8"/>
      </w:tblGrid>
      <w:tr w:rsidR="001A7EA7" w:rsidTr="001A7EA7">
        <w:tc>
          <w:tcPr>
            <w:tcW w:w="1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A7" w:rsidRDefault="001A7EA7">
            <w:pPr>
              <w:jc w:val="both"/>
              <w:rPr>
                <w:rFonts w:ascii="Liberation Serif" w:hAnsi="Liberation Serif"/>
              </w:rPr>
            </w:pPr>
            <w:bookmarkStart w:id="0" w:name="_GoBack"/>
            <w:bookmarkEnd w:id="0"/>
          </w:p>
        </w:tc>
      </w:tr>
    </w:tbl>
    <w:p w:rsidR="00B84774" w:rsidRDefault="00B84774">
      <w:pPr>
        <w:pStyle w:val="3"/>
        <w:tabs>
          <w:tab w:val="right" w:pos="9638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</w:p>
    <w:sectPr w:rsidR="00B84774" w:rsidSect="001A7EA7">
      <w:headerReference w:type="default" r:id="rId9"/>
      <w:pgSz w:w="11906" w:h="16838"/>
      <w:pgMar w:top="0" w:right="567" w:bottom="142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D42" w:rsidRDefault="009C0D42">
      <w:r>
        <w:separator/>
      </w:r>
    </w:p>
  </w:endnote>
  <w:endnote w:type="continuationSeparator" w:id="0">
    <w:p w:rsidR="009C0D42" w:rsidRDefault="009C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D42" w:rsidRDefault="009C0D42">
      <w:r>
        <w:rPr>
          <w:color w:val="000000"/>
        </w:rPr>
        <w:separator/>
      </w:r>
    </w:p>
  </w:footnote>
  <w:footnote w:type="continuationSeparator" w:id="0">
    <w:p w:rsidR="009C0D42" w:rsidRDefault="009C0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4F" w:rsidRDefault="003C474F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1A7EA7">
      <w:rPr>
        <w:noProof/>
      </w:rPr>
      <w:t>2</w:t>
    </w:r>
    <w:r>
      <w:fldChar w:fldCharType="end"/>
    </w:r>
  </w:p>
  <w:p w:rsidR="003C474F" w:rsidRDefault="003C47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37475"/>
    <w:multiLevelType w:val="multilevel"/>
    <w:tmpl w:val="DEC0F058"/>
    <w:lvl w:ilvl="0">
      <w:start w:val="1"/>
      <w:numFmt w:val="decimal"/>
      <w:lvlText w:val="%1."/>
      <w:lvlJc w:val="left"/>
      <w:pPr>
        <w:ind w:left="1684" w:hanging="975"/>
      </w:pPr>
      <w:rPr>
        <w:rFonts w:ascii="Liberation Serif" w:hAnsi="Liberation Serif"/>
        <w:sz w:val="24"/>
        <w:szCs w:val="24"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96"/>
    <w:rsid w:val="00123936"/>
    <w:rsid w:val="001A6871"/>
    <w:rsid w:val="001A7EA7"/>
    <w:rsid w:val="001D6E46"/>
    <w:rsid w:val="0027419B"/>
    <w:rsid w:val="00283E22"/>
    <w:rsid w:val="002C1F64"/>
    <w:rsid w:val="00310583"/>
    <w:rsid w:val="003678ED"/>
    <w:rsid w:val="003C474F"/>
    <w:rsid w:val="003C7F3B"/>
    <w:rsid w:val="004A0633"/>
    <w:rsid w:val="004E0EFD"/>
    <w:rsid w:val="00597ED9"/>
    <w:rsid w:val="00636A74"/>
    <w:rsid w:val="00706D9D"/>
    <w:rsid w:val="00720D42"/>
    <w:rsid w:val="008538E5"/>
    <w:rsid w:val="00863D00"/>
    <w:rsid w:val="008A2161"/>
    <w:rsid w:val="008E1DD4"/>
    <w:rsid w:val="00922D5F"/>
    <w:rsid w:val="00991496"/>
    <w:rsid w:val="009C0D42"/>
    <w:rsid w:val="00A133C0"/>
    <w:rsid w:val="00A210BE"/>
    <w:rsid w:val="00B37943"/>
    <w:rsid w:val="00B50983"/>
    <w:rsid w:val="00B84774"/>
    <w:rsid w:val="00CA1F10"/>
    <w:rsid w:val="00CC2E1C"/>
    <w:rsid w:val="00CC7DB8"/>
    <w:rsid w:val="00D571CF"/>
    <w:rsid w:val="00D75146"/>
    <w:rsid w:val="00EB09E4"/>
    <w:rsid w:val="00F176C7"/>
    <w:rsid w:val="00F43A1E"/>
    <w:rsid w:val="00F74644"/>
    <w:rsid w:val="00F77E56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A7E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7E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A7E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7E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nova\Desktop\!&#1056;&#1072;&#1073;&#1086;&#1090;&#1072;\!&#1040;&#1058;&#1050;\&#1053;&#1055;&#1040;%20&#1043;&#1054;%20&#1055;&#1077;&#1088;&#1074;&#1086;&#1091;&#1088;&#1072;&#1083;&#1100;&#1089;&#1082;\&#1054;%20&#1074;&#1085;&#1077;&#1089;&#1077;&#1085;&#1080;&#1080;%20&#1080;&#1079;&#1084;&#1077;&#1085;&#1077;&#1085;&#1080;&#1081;%20&#1074;%20&#1089;&#1086;&#1089;&#1090;&#1072;&#1074;%20&#1040;&#105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 внесении изменений в состав АТК</Template>
  <TotalTime>61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Таранова Наталья Васильевна</dc:creator>
  <cp:lastModifiedBy>Ващенко Юлия Александровна</cp:lastModifiedBy>
  <cp:revision>15</cp:revision>
  <cp:lastPrinted>2019-01-22T10:06:00Z</cp:lastPrinted>
  <dcterms:created xsi:type="dcterms:W3CDTF">2025-04-22T11:29:00Z</dcterms:created>
  <dcterms:modified xsi:type="dcterms:W3CDTF">2025-04-25T08:44:00Z</dcterms:modified>
</cp:coreProperties>
</file>