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1" w:rsidRPr="00A91F31" w:rsidRDefault="00A91F31" w:rsidP="00A91F31">
      <w:pPr>
        <w:jc w:val="center"/>
        <w:rPr>
          <w:rFonts w:eastAsia="Times New Roman"/>
        </w:rPr>
      </w:pPr>
      <w:r w:rsidRPr="00A91F31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7pt;visibility:visible;mso-wrap-style:square">
            <v:imagedata r:id="rId8" o:title=""/>
          </v:shape>
        </w:pict>
      </w:r>
    </w:p>
    <w:p w:rsidR="00A91F31" w:rsidRPr="00A91F31" w:rsidRDefault="00A91F31" w:rsidP="00A91F31">
      <w:pPr>
        <w:jc w:val="center"/>
        <w:rPr>
          <w:rFonts w:eastAsia="Times New Roman"/>
          <w:b/>
          <w:w w:val="150"/>
          <w:sz w:val="18"/>
          <w:szCs w:val="18"/>
        </w:rPr>
      </w:pPr>
      <w:r w:rsidRPr="00A91F31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A91F31" w:rsidRPr="00A91F31" w:rsidRDefault="00A91F31" w:rsidP="00A91F31">
      <w:pPr>
        <w:jc w:val="center"/>
        <w:rPr>
          <w:rFonts w:eastAsia="Times New Roman"/>
          <w:b/>
          <w:w w:val="160"/>
          <w:sz w:val="36"/>
          <w:szCs w:val="20"/>
        </w:rPr>
      </w:pPr>
      <w:r w:rsidRPr="00A91F31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A91F31" w:rsidRPr="00A91F31" w:rsidRDefault="00A91F31" w:rsidP="00A91F3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A91F31" w:rsidRPr="00A91F31" w:rsidRDefault="00A91F31" w:rsidP="00A91F3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A91F31" w:rsidRPr="00A91F31" w:rsidRDefault="00A91F31" w:rsidP="00A91F31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A91F31" w:rsidRPr="00A91F31" w:rsidTr="00A91F31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31" w:rsidRPr="00A91F31" w:rsidRDefault="00A91F31" w:rsidP="00A91F3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14.05.2025</w:t>
            </w:r>
          </w:p>
        </w:tc>
        <w:tc>
          <w:tcPr>
            <w:tcW w:w="3322" w:type="dxa"/>
            <w:vAlign w:val="bottom"/>
            <w:hideMark/>
          </w:tcPr>
          <w:p w:rsidR="00A91F31" w:rsidRPr="00A91F31" w:rsidRDefault="00A91F31" w:rsidP="00A91F31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A91F31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F31" w:rsidRPr="00A91F31" w:rsidRDefault="00A91F31" w:rsidP="00A91F3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1310</w:t>
            </w:r>
          </w:p>
        </w:tc>
      </w:tr>
    </w:tbl>
    <w:p w:rsidR="00A91F31" w:rsidRPr="00A91F31" w:rsidRDefault="00A91F31" w:rsidP="00A91F3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A91F31" w:rsidRPr="00A91F31" w:rsidRDefault="00A91F31" w:rsidP="00A91F3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A91F31">
        <w:rPr>
          <w:rFonts w:eastAsia="Times New Roman"/>
          <w:sz w:val="28"/>
          <w:szCs w:val="28"/>
        </w:rPr>
        <w:t>г. Первоуральск</w:t>
      </w:r>
    </w:p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5218C4">
        <w:trPr>
          <w:trHeight w:val="553"/>
        </w:trPr>
        <w:tc>
          <w:tcPr>
            <w:tcW w:w="4283" w:type="dxa"/>
            <w:noWrap/>
          </w:tcPr>
          <w:p w:rsidR="005218C4" w:rsidRDefault="00A91F31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218C4" w:rsidRDefault="005218C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5218C4">
        <w:tc>
          <w:tcPr>
            <w:tcW w:w="9382" w:type="dxa"/>
            <w:noWrap/>
          </w:tcPr>
          <w:p w:rsidR="005218C4" w:rsidRDefault="00A91F31">
            <w:pPr>
              <w:adjustRightInd w:val="0"/>
              <w:snapToGrid w:val="0"/>
              <w:ind w:right="59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</w:t>
            </w:r>
            <w:r>
              <w:rPr>
                <w:rFonts w:ascii="Liberation Serif" w:hAnsi="Liberation Serif"/>
                <w:color w:val="000000"/>
              </w:rPr>
              <w:t xml:space="preserve">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от 11 августа 2008 года серия 66 АГ № 326186, выписку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Liberation Serif" w:hAnsi="Liberation Serif" w:cs="Liberation Serif"/>
              </w:rPr>
              <w:t xml:space="preserve">равах на объект недвижимости (сооружение) от 21 апреля      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5218C4" w:rsidRDefault="005218C4">
      <w:pPr>
        <w:jc w:val="both"/>
        <w:rPr>
          <w:rFonts w:ascii="Liberation Serif" w:hAnsi="Liberation Serif" w:cs="Liberation Serif"/>
        </w:rPr>
      </w:pPr>
    </w:p>
    <w:p w:rsidR="005218C4" w:rsidRDefault="005218C4">
      <w:pPr>
        <w:jc w:val="both"/>
        <w:rPr>
          <w:rFonts w:ascii="Liberation Serif" w:hAnsi="Liberation Serif" w:cs="Liberation Serif"/>
        </w:rPr>
      </w:pPr>
    </w:p>
    <w:p w:rsidR="005218C4" w:rsidRDefault="00A91F3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7"/>
        <w:gridCol w:w="4425"/>
      </w:tblGrid>
      <w:tr w:rsidR="005218C4">
        <w:tc>
          <w:tcPr>
            <w:tcW w:w="9382" w:type="dxa"/>
            <w:gridSpan w:val="2"/>
            <w:noWrap/>
          </w:tcPr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публичный сервитут общей площадью 35 кв. метров, сроком на 49 лет, в целях эксплуатации объекта электросетевого хозяйства - «ВЛ-0,4 кВ Ф. Школа, литер: 4а»      в отношении: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</w:t>
            </w:r>
            <w:r>
              <w:rPr>
                <w:rFonts w:ascii="Liberation Serif" w:hAnsi="Liberation Serif" w:cs="Liberation Serif"/>
              </w:rPr>
              <w:t xml:space="preserve"> квартале 66:58:1701001, площадью 32,8 кв. метра;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66:58:1701001:86, площадью 2,1 кв. метра, с местоположением: Свердловская область,                           город Первоуральск, село Битимка, улица Паром, д</w:t>
            </w:r>
            <w:r>
              <w:rPr>
                <w:rFonts w:ascii="Liberation Serif" w:hAnsi="Liberation Serif" w:cs="Liberation Serif"/>
              </w:rPr>
              <w:t>ом 24-а.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</w:t>
            </w:r>
            <w:r w:rsidRPr="00A91F3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 которого использование земель и части земельного участка и (или) расположенных на них объектов недвижимого имущ</w:t>
            </w:r>
            <w:r>
              <w:rPr>
                <w:rFonts w:ascii="Liberation Serif" w:hAnsi="Liberation Serif" w:cs="Liberation Serif"/>
              </w:rPr>
              <w:t>ества в соответствии с их разрешенным использованием будет невозможно или существенно затруднено в связи с осуществлением сервитута, отсутствует.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</w:t>
            </w:r>
            <w:r>
              <w:rPr>
                <w:rFonts w:ascii="Liberation Serif" w:hAnsi="Liberation Serif" w:cs="Liberation Serif"/>
              </w:rPr>
              <w:t>ервитут, установить согласно приложению № 2.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Обязать публичное акционерное общество «Россети Урал» привести земли и земельный участок в состояние, пригодное для использования в соответствии   </w:t>
            </w:r>
            <w:r>
              <w:rPr>
                <w:rFonts w:ascii="Liberation Serif" w:hAnsi="Liberation Serif" w:cs="Liberation Serif"/>
              </w:rPr>
              <w:lastRenderedPageBreak/>
              <w:t>с видом разрешенного использования, в срок не позднее чем три</w:t>
            </w:r>
            <w:r>
              <w:rPr>
                <w:rFonts w:ascii="Liberation Serif" w:hAnsi="Liberation Serif" w:cs="Liberation Serif"/>
              </w:rPr>
              <w:t xml:space="preserve"> месяца после завершения эксплуатации инженерного сооружения, для размещения которого был установлен публичный сервитут.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5218C4" w:rsidRDefault="00A91F31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</w:t>
            </w:r>
            <w:r>
              <w:rPr>
                <w:rFonts w:ascii="Liberation Serif" w:hAnsi="Liberation Serif" w:cs="Liberation Serif"/>
              </w:rPr>
              <w:t>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5218C4">
        <w:trPr>
          <w:trHeight w:val="1372"/>
        </w:trPr>
        <w:tc>
          <w:tcPr>
            <w:tcW w:w="4957" w:type="dxa"/>
            <w:noWrap/>
          </w:tcPr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A91F31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5218C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218C4" w:rsidRDefault="00A91F31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/>
              </w:rPr>
              <w:t>И.В.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Кабец</w:t>
            </w:r>
          </w:p>
        </w:tc>
      </w:tr>
    </w:tbl>
    <w:p w:rsidR="005218C4" w:rsidRDefault="00A91F31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5218C4" w:rsidSect="00A91F31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1F31">
      <w:r>
        <w:separator/>
      </w:r>
    </w:p>
  </w:endnote>
  <w:endnote w:type="continuationSeparator" w:id="0">
    <w:p w:rsidR="00000000" w:rsidRDefault="00A9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4" w:rsidRDefault="00A91F31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218C4" w:rsidRDefault="005218C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1F31">
      <w:r>
        <w:separator/>
      </w:r>
    </w:p>
  </w:footnote>
  <w:footnote w:type="continuationSeparator" w:id="0">
    <w:p w:rsidR="00000000" w:rsidRDefault="00A9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4" w:rsidRDefault="00A91F31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218C4" w:rsidRDefault="005218C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4" w:rsidRDefault="00A91F31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5218C4" w:rsidRDefault="00A91F31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4" w:rsidRDefault="00A91F31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5218C4" w:rsidRDefault="00A91F31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9EFFFAD9"/>
    <w:rsid w:val="BFFD0CB2"/>
    <w:rsid w:val="D19AE9C7"/>
    <w:rsid w:val="FDEFCE10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8C4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1F31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1F0349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D6D5AB8"/>
    <w:rsid w:val="0D7F58B7"/>
    <w:rsid w:val="0DE7531B"/>
    <w:rsid w:val="0DFD49C0"/>
    <w:rsid w:val="0E4506DF"/>
    <w:rsid w:val="0E5704C1"/>
    <w:rsid w:val="0E5D060E"/>
    <w:rsid w:val="0E8506F3"/>
    <w:rsid w:val="0F2D3C37"/>
    <w:rsid w:val="13133224"/>
    <w:rsid w:val="14CB6E32"/>
    <w:rsid w:val="154B51FC"/>
    <w:rsid w:val="15FC5198"/>
    <w:rsid w:val="161B7B46"/>
    <w:rsid w:val="1698564B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FE544B"/>
    <w:rsid w:val="2EA27501"/>
    <w:rsid w:val="328867EA"/>
    <w:rsid w:val="329E432A"/>
    <w:rsid w:val="32DE5784"/>
    <w:rsid w:val="331E1296"/>
    <w:rsid w:val="335E5CD2"/>
    <w:rsid w:val="34246A77"/>
    <w:rsid w:val="35250480"/>
    <w:rsid w:val="36F10CEA"/>
    <w:rsid w:val="37465C69"/>
    <w:rsid w:val="37C04391"/>
    <w:rsid w:val="39745827"/>
    <w:rsid w:val="39D647F3"/>
    <w:rsid w:val="3AE24150"/>
    <w:rsid w:val="3C6B7ACC"/>
    <w:rsid w:val="3CAB2158"/>
    <w:rsid w:val="3CFE074D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985315"/>
    <w:rsid w:val="44DB5439"/>
    <w:rsid w:val="44FB2B90"/>
    <w:rsid w:val="45240FFC"/>
    <w:rsid w:val="46A12EF7"/>
    <w:rsid w:val="48CA4C00"/>
    <w:rsid w:val="49250A0B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C34C37"/>
    <w:rsid w:val="512C2B84"/>
    <w:rsid w:val="521B7460"/>
    <w:rsid w:val="525D1C26"/>
    <w:rsid w:val="54EB696A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C5F4813"/>
    <w:rsid w:val="5CF50DB6"/>
    <w:rsid w:val="5EC212BB"/>
    <w:rsid w:val="61254671"/>
    <w:rsid w:val="645C0E1F"/>
    <w:rsid w:val="64AB2BA7"/>
    <w:rsid w:val="652013F7"/>
    <w:rsid w:val="675727BF"/>
    <w:rsid w:val="67CB5329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5F8775"/>
    <w:rsid w:val="7DDA3681"/>
    <w:rsid w:val="7F04016F"/>
    <w:rsid w:val="7F554A96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448</Words>
  <Characters>2559</Characters>
  <Application>Microsoft Office Word</Application>
  <DocSecurity>0</DocSecurity>
  <Lines>21</Lines>
  <Paragraphs>6</Paragraphs>
  <ScaleCrop>false</ScaleCrop>
  <Company>Kontora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2024-02-09T05:12:00Z</cp:lastPrinted>
  <dcterms:created xsi:type="dcterms:W3CDTF">2019-11-28T02:42:00Z</dcterms:created>
  <dcterms:modified xsi:type="dcterms:W3CDTF">2025-05-15T11:00:00Z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