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6"/>
        <w:spacing w:after="0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УРАЛЬСКОЕ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МЕЖРЕГИОНАЛЬНОЕ УПРАВЛЕНИЕ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906"/>
        <w:spacing w:after="0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РОССЕЛЬХОЗНАДЗОРА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p>
      <w:pPr>
        <w:pStyle w:val="906"/>
        <w:spacing w:after="0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(Челябинская, Свердловская, Курганская области)</w:t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p>
      <w:pPr>
        <w:pStyle w:val="906"/>
        <w:spacing w:after="0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 ПАМЯТКА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gree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40" w:lineRule="auto"/>
        <w:ind w:left="0" w:right="0" w:firstLine="0"/>
        <w:jc w:val="center"/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закупщика пищевой продукции для нужд 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40" w:lineRule="auto"/>
        <w:ind w:left="0" w:right="0" w:firstLine="0"/>
        <w:jc w:val="center"/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медицинского, образовательного или иного 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социально-значимого учреждения (СЗУ)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none"/>
        </w:rPr>
      </w:r>
    </w:p>
    <w:p>
      <w:pPr>
        <w:ind w:right="-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г. Челябинск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center"/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  <w:t xml:space="preserve">2025 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425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eastAsia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color w:val="1a1a1a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425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</w:rPr>
        <w:tab/>
        <w:t xml:space="preserve">Памятка  подготовлена</w:t>
      </w:r>
      <w:r>
        <w:rPr>
          <w:rFonts w:ascii="Times New Roman" w:hAnsi="Times New Roman" w:eastAsia="Times New Roman" w:cs="Times New Roman"/>
          <w:color w:val="1a1a1a"/>
          <w:sz w:val="28"/>
          <w:szCs w:val="28"/>
        </w:rPr>
        <w:t xml:space="preserve"> для оказания методической помощи при приёмке пищевой продукции (входного контроля), поставляемой по договорам (контрактам)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val="en-US"/>
        </w:rPr>
        <w:t xml:space="preserve">,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val="ru-RU"/>
        </w:rPr>
        <w:t xml:space="preserve"> и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val="ru-RU"/>
        </w:rPr>
        <w:t xml:space="preserve">исключению фактов приёмки некачественной и небезопасной продукции.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  <w:t xml:space="preserve">Содержание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  <w:t xml:space="preserve">1. Используемые термины.......................................................................................2</w:t>
      </w: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  <w:t xml:space="preserve">2. Подготовка к приемке продукции ......................................................................3</w:t>
      </w: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  <w:t xml:space="preserve">3.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Предлагаемый порядок действий</w:t>
      </w: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  <w:t xml:space="preserve">.......................................................................4</w:t>
      </w: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  <w:t xml:space="preserve">4. На что имеет право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представитель заказчика при наличии соответствующих условий в контракте ...............................................................................................6</w:t>
      </w:r>
      <w:r>
        <w:rPr>
          <w:rFonts w:ascii="Times New Roman" w:hAnsi="Times New Roman" w:cs="Times New Roman"/>
          <w:b w:val="0"/>
          <w:bCs w:val="0"/>
          <w:color w:val="1a1a1a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0"/>
        <w:jc w:val="both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5.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Виды нарушений при которых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 обязательно осуществляется возврат товара поставщику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</w:rPr>
        <w:t xml:space="preserve">.............................................................................................................7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  <w:t xml:space="preserve">6.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Типичные нарушения при  приемке продукции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  <w:t xml:space="preserve">...............................................7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  <w:t xml:space="preserve">7.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Лица, которые могут проводить оформление ветеринарных сопроводительных документов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  <w:t xml:space="preserve">..............................................................................8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  <w:u w:val="none"/>
        </w:rPr>
        <w:t xml:space="preserve">8.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Рекомендации заказчикам, осуществляющим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закупки пищевой продукции.................................................................................................................9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  <w:u w:val="none"/>
        </w:rPr>
        <w:t xml:space="preserve"> 9. Ответственность поставщиков, производителей и получателей некачественной и (или) небезопасной продукции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  <w:u w:val="none"/>
        </w:rPr>
        <w:t xml:space="preserve"> ...............................................9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  <w:u w:val="none"/>
        </w:rPr>
      </w:r>
    </w:p>
    <w:p>
      <w:pPr>
        <w:pStyle w:val="903"/>
        <w:spacing w:after="0" w:afterAutospacing="0" w:line="276" w:lineRule="auto"/>
        <w:ind w:firstLine="0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10. Перечень основных нормативных актов регламентирующих порядок приемки и изъятия из оборота пищевой продукции .........................................10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lef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1a1a1a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highlight w:val="none"/>
          <w:lang w:val="ru-RU"/>
        </w:rPr>
      </w:r>
    </w:p>
    <w:p>
      <w:pPr>
        <w:pStyle w:val="904"/>
        <w:numPr>
          <w:numId w:val="16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2951" w:leader="none"/>
        </w:tabs>
        <w:spacing w:after="0" w:afterAutospacing="0" w:line="276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  <w:t xml:space="preserve">Используемые термины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spacing w:after="0" w:afterAutospacing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Ветеринарное законодательство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- это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 собранные воедино федеральные 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законы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, указы, постановления и другие правовые акты, регулирующие организационные вопросы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ветеринарии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 (в том числе 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Закон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 Российской Федерации от 14.05.1993 № 4979-1«О 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ветеринарии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»), а также издаваемые органами 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положения, инструкции, правила, указания, наставления и другие нормативные документы по общим и специальным вопросам 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ветеринарии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333333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ВСД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ветеринарный сопроводительный документ, 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  <w:highlight w:val="white"/>
        </w:rPr>
        <w:t xml:space="preserve">который подтверждает безопасность животных, грузов и продуктов животного происхождения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содержит информацию о территориальном и видовом происхождении, ветеринарно-санитар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ное состояние сопровождаемого подконтрольного товара, эпизоотическое благополучие терр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иторий его происхождения и позволяющие идентифицировать подконтрольный товар, подтвердить его качество и безопасность.</w:t>
      </w: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  <w:highlight w:val="white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СЗУ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–социально-значимое учреждение (школа, садик, больница и др.);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ФГИС «Меркурий»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202122"/>
          <w:sz w:val="28"/>
          <w:szCs w:val="28"/>
          <w:highlight w:val="none"/>
        </w:rPr>
        <w:t xml:space="preserve"> информационная система, </w:t>
      </w:r>
      <w:r>
        <w:rPr>
          <w:rFonts w:ascii="Times New Roman" w:hAnsi="Times New Roman" w:eastAsia="Times New Roman" w:cs="Times New Roman"/>
          <w:b w:val="0"/>
          <w:bCs w:val="0"/>
          <w:color w:val="202122"/>
          <w:sz w:val="28"/>
          <w:szCs w:val="28"/>
          <w:highlight w:val="white"/>
        </w:rPr>
        <w:t xml:space="preserve">предназначена для регистрации результатов ветеринарно-санитарной экспертизы подконтрольных товаров и оформления ветеринарных сопроводительных документов в электронном виде, сохранения и обработки информации о них.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«Меркурий» сопровождает производство, переработку и перемещение продукции на всем этапе ее производства и реализации конечному потребителю, позволяет контролировать процессы введения животноводческой продукц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ии в оборот, служит инструментом для выявления и исключения нелегальных схем производства и перемещения фальсифицированной и опасной в ветеринарно–санитарном отношении продукции животноводства.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Система «Честный знак»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</w:rPr>
        <w:t xml:space="preserve">это 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</w:rPr>
        <w:t xml:space="preserve">национальная система цифровой маркировки и прослеживаемости товаров, действующая в России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</w:rPr>
        <w:t xml:space="preserve">. Её основная цель — защитить потребителей от подделок, обеспечить контроль за движением товаров от производителя до конечного покупателя и повысить прозрачность товарооборота. 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Непереработанная пищевая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 продукция животного происхождения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не прошедшая переработку (о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бработку) туши (тушки) продуктивных животных всех видов, их части (включая кровь и субпродукты), молоко сырое, сырое обезжиренное молоко, сливки сырые, продукция пчеловодства, яйца и яйцепродукты, улов водных биологических ресурсов, продукция аквакультуры;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ТТН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– товаро-транспортная накладная, передаточный документ;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ЕАЭС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– Евразийский экономический союз.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ТН ВЭД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т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оварная номенклатура внешнеэкономической деятельности) — система классификации товаров, используемая в странах ЕАЭС (Россия, Беларусь, Казахстан, Армения и Киргизия). Она помогает собирать статистику, определять таможенные тарифы, рассчитывать пошлины и на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логовые режимы. Кроме того, это уникальный идентификатор товара, обязательный к применению согласно статье 20 Таможенного кодекса ЕАЭС.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2. Подготовка к приемке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  <w:t xml:space="preserve"> продукции</w:t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after="0" w:afterAutospacing="0" w:line="276" w:lineRule="auto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Перед  приёмкой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товара необходимо иметь в виду, что оборот животноводческой продукции возможен, исключительно, при наличии должным образом оформленного ВСД. 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after="0" w:afterAutospacing="0" w:line="276" w:lineRule="auto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Оформление ВСД может осуществляется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государственным врачом, аттестованным специалистом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или производителем  в зависимости от того, к каким кодам ТН ВЭД относится продукция. 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Так, 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 специалисты, которые являются уполномоченными лицами органов и учреждений, входящих в систему Госветслужбы Российской Федерации,  могут оформлять ВСД на товары, входящие в перечень из приказа Минсельхоза РФ от 18.12.2015 № 648,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тогда как 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уполномоченные лица, не имеющие ветеринарного образования, могут оформлять ВСД только на </w:t>
      </w:r>
      <w:r>
        <w:rPr>
          <w:rFonts w:ascii="Times New Roman" w:hAnsi="Times New Roman" w:eastAsia="Times New Roman" w:cs="Times New Roman"/>
          <w:color w:val="212529"/>
          <w:sz w:val="28"/>
          <w:szCs w:val="28"/>
        </w:rPr>
        <w:t xml:space="preserve">готовую продукцию, которая находится в упаковке и не имеет контакта с внешней средой.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414141"/>
          <w:sz w:val="28"/>
          <w:szCs w:val="28"/>
        </w:rPr>
        <w:t xml:space="preserve">Уполномоченным лицам организаций (производителям подконтрольных товаров и (или) участникам оборота подконтрольных товаров), разрешено оформлять ЭВС на продукцию животного происхождения: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4"/>
        <w:numPr>
          <w:numId w:val="14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если ее подвергли тепловой или иной обработке, с уничтожением патогенных микроорганизмов;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4"/>
        <w:numPr>
          <w:numId w:val="14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Если ее упаковали на производстве в потребительскую или транспортную упаковку, которая исключает контакт с внешней средой;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4"/>
        <w:numPr>
          <w:numId w:val="14"/>
          <w:ilvl w:val="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если такая продукция или сырье, из которого она изготовлена, получили установленные ветеринарным законодательством РФ процедуры подтверждения (обеспечения) безопасности.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76" w:lineRule="auto"/>
        <w:ind w:left="709" w:righ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Для поставок ряда продукции в некоторые СЗУ существуют дополнительные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условия, в том числе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  <w:u w:val="single"/>
        </w:rPr>
        <w:t xml:space="preserve">невозможна поставка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сырого мяса в детские учреждения индивидуальным предпринимателем без заключения специалиста в области ветеринарии (ветеринарный врач) и без термоупаковки продукции, осуществлённой при производстве продукта. 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</w:rPr>
        <w:t xml:space="preserve">Приложением №6 к СанПиН 2.3/2.4.3590-20 установлен перечень пищевой продукции,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которая не допускается при организации питания детей.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3. Предлагаемый порядок действий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</w:rPr>
      </w:r>
    </w:p>
    <w:p>
      <w:pPr>
        <w:spacing w:after="0" w:afterAutospacing="0" w:line="276" w:lineRule="auto"/>
        <w:jc w:val="center"/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sz w:val="28"/>
          <w:szCs w:val="28"/>
          <w:highlight w:val="none"/>
        </w:rPr>
      </w:r>
    </w:p>
    <w:p>
      <w:pPr>
        <w:suppressLineNumbers w:val="0"/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целях организации приемки поставленной пищевой продукции в рамках исполнения контракта, заказчиком необходимо: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uppressLineNumbers w:val="0"/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ознакомиться с условиями контракта, в рамках которого осуществляется поставка пищевой продукции (описание пищевой продукции, предъявляемые к ней требования и характеристики);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uppressLineNumbers w:val="0"/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зучить нормативную базу, регламентирующую процесс приемки товара,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(ст. 94 Федерального закона от 05.04.2013 № 44-ФЗ «О контрактной системе в сфере закупок товаров, работ, услуг для обеспечения государственный и муниципальных нужд»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стандарты и технические регламенты Таможенного союза;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uppressLineNumbers w:val="0"/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ознакомиться с порядком оформления ВСД, установленном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приказом Минсельхоза РФ от 13.12.2022 №862 «Об утверждении ветеринарных правил организации работы по оформлению ветеринарных сопроводительных документов, порядка оформления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ветеринарных сопроводительных документов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в электронной форме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порядка оформления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ветеринарных сопроводительных документов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на бумажных носителях»;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uppressLineNumbers w:val="0"/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Представитель заказчика изучает представленные поставщиком сопроводительные документы на товар, оцен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ивает их надлежащее оформление, достоверность и полноту, определяет соответствие поставленного товара условиям контракта, нормативной и технической документации, проводит действия по визуальной оценке, измерению количественных и качественных характеристик.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uppressLineNumbers w:val="0"/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Прежде чем принять поставленный товар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необходимо убедиться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наличии ВСД.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Проверка ВСД проводится через возможности ФГИС «Меркурий».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4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 отсутствии ВСД продукция имеет неизвестное происхождение и не является безопасной.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При проверке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ВСД необходимо сопоставить содержание сведений, представленных документах,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 убедиться в полном совпадении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данных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ВСД, ТТН, декларации с информацией на упаковке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3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Убедиться в полном совпадении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данных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ВСД и ТТН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об адресе места отправления и назначения (фактическом месте поступления продукции в СЗУ, а  не юридическом адресе)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количестве продукции, датах выработки и сроках годности.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3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Обратить внимание на информацию в ВСД о способе хранения при перевозке, который должен соответствовать термическому состоянию продукции (замороженный, охлажденный).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3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ВСД должна содержаться запись о  проведении ветеринарно-санитарной экспертизы в полном объеме,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о лабораторных исследованиях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и их результатах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3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Входящий ВСД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имеет статус «Оформлено» при проверке в ФГИС «Меркурий», а также информация о производственном ВСД, указанном в ветеринарном документе на поступившую продукции НЕ имеет статус «аннулирован».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3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случае, если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продукция промаркирована в системе «Честный знак», то при сканировании QR-кода в разделе «Разрешительные документы»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размещена декларация о соответствии на поставляемую продукцию, а также отсутствует информация о том, что указанный товар является «сомнительным».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3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Декларация о соответствии на поступившую продукцию должна проходить проверку на сайте и иметь статус «действует»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(сайт для проверки: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https://pub.fsa.gov.ru/rds/declaration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</w:t>
      </w:r>
      <w:r>
        <w:rPr>
          <w:rStyle w:val="882"/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. В соответствии ст. 23 ТР ТС 021/2011 декларация о соответствии требуется на все продукты питания (</w:t>
      </w:r>
      <w:r>
        <w:rPr>
          <w:rStyle w:val="882"/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за исключением </w:t>
      </w:r>
      <w:r>
        <w:rPr>
          <w:rStyle w:val="882"/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непереработанной пищевой продукции животного происхождения;</w:t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 </w:t>
      </w:r>
      <w:r>
        <w:rPr>
          <w:rStyle w:val="882"/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специализированной пищевой продукции; </w:t>
      </w:r>
      <w:r>
        <w:rPr>
          <w:rStyle w:val="882"/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уксуса).</w:t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pStyle w:val="903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Style w:val="882"/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Убедиться, что ВСД на продукцию оформило должностное лицо, имеющее право на оформление ВСД на конкретный вид продукции.</w:t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pStyle w:val="903"/>
        <w:numPr>
          <w:numId w:val="17"/>
          <w:ilvl w:val="0"/>
        </w:numPr>
        <w:suppressLineNumbers w:val="0"/>
        <w:tabs>
          <w:tab w:val="left" w:pos="992" w:leader="none"/>
        </w:tabs>
        <w:spacing w:after="0" w:afterAutospacing="0" w:line="276" w:lineRule="auto"/>
        <w:ind w:left="0" w:right="0" w:firstLine="709"/>
        <w:contextualSpacing w:val="0"/>
        <w:jc w:val="both"/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Style w:val="882"/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В случае соответствия поступившей продукции всем указанным выше параметрам – осуществить «гашение» ВСД (подтвердить факт приемки), в случае расхождения данных оформить возвратный ВСД в адрес отправителя.</w:t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pStyle w:val="903"/>
        <w:spacing w:after="0" w:afterAutospacing="0" w:line="276" w:lineRule="auto"/>
        <w:ind w:firstLine="0"/>
        <w:jc w:val="both"/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Style w:val="882"/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Style w:val="882"/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4.  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highlight w:val="none"/>
          <w:lang w:val="ru-RU"/>
        </w:rPr>
        <w:t xml:space="preserve">На что имеет право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представитель заказчика при наличии соответствующих условий в контракте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4.1. требовать от поставщика представления информации, технической и иной документации,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 подлежащей оформлению и представлению заказчику;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4.2.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 вызывать представителей поставщика для решения вопросов, касающихся приемки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поставленного товара;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4.3.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 запрашивать у поставщика непредставленные сопроводительные документы на товар, а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также получать разъяснения по представленным документам;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4.4.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 предъявлять поставщику требования, направленные на устранение недостатков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поставленного товара;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4.5.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 инициировать привлечение эксперта (экспертной организации) для осуществления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приемки товара с составлением соответствующего заключения о соответствии (несоответствии)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товара установленным контрактом требованиям;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4.6.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 в случае, если экспертиза проводится без привлечения экспертов (экспертных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организаций), проводить экспертизу поставленного товара на предмет его соответствия условиям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контракта и положениям нормативной и технической документации, предусмотренной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контрактом;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4.7.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 составлять акт приемки товаров (партии товара) по форме в соответствии с условиями </w:t>
      </w:r>
      <w:r>
        <w:rPr>
          <w:rFonts w:ascii="Times New Roman" w:hAnsi="Times New Roman" w:eastAsia="Times New Roman" w:cs="Times New Roman"/>
          <w:b w:val="0"/>
          <w:bCs w:val="0"/>
          <w:color w:val="1a1a1a"/>
          <w:sz w:val="28"/>
          <w:szCs w:val="28"/>
        </w:rPr>
        <w:t xml:space="preserve">контракта.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03"/>
        <w:spacing w:after="0" w:afterAutospacing="0" w:line="276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pStyle w:val="903"/>
        <w:spacing w:after="0" w:afterAutospacing="0" w:line="276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pStyle w:val="903"/>
        <w:spacing w:after="0" w:afterAutospacing="0" w:line="276" w:lineRule="auto"/>
        <w:ind w:firstLine="708"/>
        <w:jc w:val="center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5. Виды нарушений при которых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 обязательно осуществляется возврат товара поставщику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</w:rPr>
      </w:r>
    </w:p>
    <w:p>
      <w:pPr>
        <w:pStyle w:val="903"/>
        <w:spacing w:after="0" w:afterAutospacing="0"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доставке скоропортящейся продукции на личном легковом автомобиле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а не на специальном изотермическом транспорте.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5.1. при нарушении правил товарного соседства при доставке различных продуктов питания на одном транспорте (например: хлеб привезен навалом, лежит около кур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сырых, продукты питания доставлены без лотков или подтоварников, продукты готовые и сырые соприкасаются между собой), транспортная тара не промаркирована по виду перевозимой продукции.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 имеются признаки порчи или недоброкачественности (гниль, неприятны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 запах, вздутая консервная банка и т.д.).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5.3.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отсутствует маркировочный ярлык, либо на маркировочной этикетке отсутствует информация  о дате изготовления, сроках годности, наименовани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изготовителя и др.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5.4.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отсутствуют  клейма о ветеринарно-санитарной экспертизе на непереработанную  продукцию  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ивотного происхождения,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5.5.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отсутствует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код «DataMatrix» на пищевой продукции, подлежащей маркировке.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5.6.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целостность транспортной упаковки нарушена, без видимых загрязнений продукции.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5.7.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сроки годности продукции истекли.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5.8.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продукт входит в перечень запрещенных продуктов для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спользования в детских организованных коллективах.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5.9.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поставленная продукция не соответствует контракту (наименование, характеристики, количество).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5.10.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отсутствие товаросопроводительных  документов (декларация, ветеринарные документы и др.) и (или) информации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 наименовании товара, о его производителе (название, место расположения) в документах и на маркировочном ярлыке не соответствует.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pStyle w:val="903"/>
        <w:spacing w:after="0" w:afterAutospacing="0" w:line="276" w:lineRule="auto"/>
        <w:ind w:firstLine="708"/>
        <w:jc w:val="center"/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6. Типичные нарушения при  приемке продукции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708"/>
        <w:jc w:val="center"/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6.1.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соответствие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ехническим регламентом ЕАЭС №  021/2011  «О безопасности пищевой продукции»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для дошкольного и школьного питания не допускается: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мясо продуктивных животных механической обвалки и мясо птицы механической обвалки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субпродукты и блочное мясо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со сроком годности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6 месяцев и более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Нарушение сроков гашения ВСД (преждевременное, либо позднее). В соответствии с п.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22 гл.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IV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приказа Министерства сельского хозяйства РФ от 13.12.2022 № 862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гашение транспортного (входящего) ВСД должно быть осуществлено в течение 24 часов после доставки партии подконтрольного товара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учреждение.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6.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3. Отсутствие информации о проведенных лабораторных исследований в ВСД.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В разделе лабораторные исследования должны содержаться исследования на продукцию подтверждающие ее качество и безопасность.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6.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4. Права в системе ФГИС «Меркурий» необходимо предоставлять уполномоченным лицам фактически осуществляющим получение продукции (ответственным за фактическую сверку продукции и представленных на нее документов).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center"/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color w:val="ff0000"/>
          <w:sz w:val="28"/>
          <w:szCs w:val="28"/>
          <w:highlight w:val="white"/>
          <w:u w:val="none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white"/>
        </w:rPr>
        <w:t xml:space="preserve"> 7.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white"/>
        </w:rPr>
        <w:t xml:space="preserve">Лица, которые могут проводить оформление ветеринарных сопроводительных документов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ФГИС «Меркурий» есть несколько категорий лиц, имеющих разные  права при  оформлении ветеринарно - сопроводительных документов: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3"/>
        <w:numPr>
          <w:numId w:val="8"/>
          <w:ilvl w:val="0"/>
        </w:numPr>
        <w:spacing w:after="0" w:afterAutospacing="0" w:line="276" w:lineRule="auto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государственный ветеринарный врач;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3"/>
        <w:numPr>
          <w:numId w:val="8"/>
          <w:ilvl w:val="0"/>
        </w:numPr>
        <w:spacing w:after="0" w:afterAutospacing="0" w:line="276" w:lineRule="auto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аттестованный специалист в области ветеринарии;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3"/>
        <w:numPr>
          <w:numId w:val="8"/>
          <w:ilvl w:val="0"/>
        </w:numPr>
        <w:spacing w:after="0" w:afterAutospacing="0" w:line="276" w:lineRule="auto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уполномоченное лицо хозяйствующего субъекта.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Государственный ветеринарный врач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имеет право на оформление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и проведение ветеринарно-санитарной экспертизы всего перечня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подконтрольных товаров, подлежащих сопровождению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 Только государственный ветеринарный врач имеет право оформить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на неупакованную заводским способом мясную,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молочную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продукцию.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Аттестованный специалист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области ветеринарии имеет право на оформление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на  продукцию,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предназначенную в пищу людям в предприятия розничной торговли, предприятия общественного питания, в том числе с промежуточным хранением на иных предприятиях только при условии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если такая продукция прошла установленные законодатель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ством Российской Федерации процедуры подтверждения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(обеспечения)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безопасности.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(Публичный реестр аттестованных специалистов в области ветеринарии опубликован в свободном доступе по ссылке: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https://accounts.vetrf.ru/pub/userCertList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u w:val="none"/>
        </w:rPr>
        <w:t xml:space="preserve">Уполномоченное лицо</w:t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u w:val="none"/>
        </w:rPr>
        <w:t xml:space="preserve">хозяйствующего субъекта</w:t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имеет право на оформление ВСД на  продукцию,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предназначенную в пищу людям и направляемую для использования в пищу людям в предприятия розничной торговли, предприятия общественного питания, в том числе с промежуточным хранением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только при условии, что данная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продукция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упакована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закрытую потребительскую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или транспортную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упаковку,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исключающую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контакт с внешней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средой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auto"/>
          <w:sz w:val="28"/>
          <w:szCs w:val="28"/>
          <w:highlight w:val="none"/>
          <w:u w:val="none"/>
        </w:rPr>
        <w:t xml:space="preserve">8.</w:t>
      </w:r>
      <w:r>
        <w:rPr>
          <w:rFonts w:ascii="Times New Roman" w:hAnsi="Times New Roman" w:eastAsia="Times New Roman" w:cs="Times New Roman"/>
          <w:i w:val="0"/>
          <w:iCs w:val="0"/>
          <w:color w:val="auto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Рекомендации заказчикам, осуществляющим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закупки пищевой продукции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проведении конкурентных способов закупок пищевой продукции, устанавливать требования к участникам закупок, согласно п. 33 Приложение к постановлению Правит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ельства Российской Федерации от 29 декабря 2021 г. № 2571.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spacing w:after="0" w:afterAutospacing="0" w:line="276" w:lineRule="auto"/>
        <w:ind w:left="0" w:right="0" w:firstLine="709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О фактах поступления некачественной и (или) небезопасной продукции предлагаем сообщать в Управление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на территории Челябинской области 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г.Челябинск, ул. Тернопольская, д. 21, тел. 8(351) 260-68-26; 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right="0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На территории Курганской области 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г. Курган, ул. Чернореченская, 107А, тел. 8(3522)42-84-58;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right="0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На территории Свердловской области г. Екатеринбург, ул. Грузчиков, д. 4, тел. 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8 (343) 227-48-40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).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right="0" w:firstLine="708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Для минимизации возможных  рисков для жизни и здоровья, необходимо предусмотреть проведение лабораторных исследований силами учреждения.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 w:val="0"/>
          <w:i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jc w:val="center"/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auto"/>
          <w:sz w:val="28"/>
          <w:szCs w:val="28"/>
          <w:highlight w:val="none"/>
          <w:u w:val="none"/>
        </w:rPr>
        <w:t xml:space="preserve"> 9. Ответственность поставщиков, производителей и получателей некачественной и (или) небезопасной продукции</w:t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</w:p>
    <w:p>
      <w:pPr>
        <w:pStyle w:val="903"/>
        <w:spacing w:after="0" w:afterAutospacing="0" w:line="276" w:lineRule="auto"/>
        <w:jc w:val="center"/>
        <w:rPr>
          <w:rFonts w:ascii="Times New Roman" w:hAnsi="Times New Roman" w:cs="Times New Roman"/>
          <w:bCs/>
          <w:i/>
          <w:color w:val="ff0000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Cs/>
          <w:i/>
          <w:color w:val="ff0000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/>
          <w:i/>
          <w:color w:val="ff0000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/>
          <w:i/>
          <w:color w:val="ff0000"/>
          <w:sz w:val="28"/>
          <w:szCs w:val="28"/>
          <w:highlight w:val="none"/>
          <w:u w:val="non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i w:val="0"/>
          <w:iCs w:val="0"/>
          <w:color w:val="auto"/>
          <w:sz w:val="28"/>
          <w:szCs w:val="28"/>
          <w:highlight w:val="none"/>
          <w:u w:val="none"/>
        </w:rPr>
        <w:t xml:space="preserve">В отношении всех участников товарообор</w:t>
      </w:r>
      <w:r>
        <w:rPr>
          <w:rFonts w:ascii="Times New Roman" w:hAnsi="Times New Roman" w:eastAsia="Times New Roman" w:cs="Times New Roman"/>
          <w:i w:val="0"/>
          <w:iCs w:val="0"/>
          <w:color w:val="auto"/>
          <w:sz w:val="28"/>
          <w:szCs w:val="28"/>
          <w:highlight w:val="none"/>
          <w:u w:val="none"/>
        </w:rPr>
        <w:t xml:space="preserve">ота в равной степени за нарушение порядка приемки продукции, как и ее реализацию, а также за ввод в оборот продукции несоответствующей требованиям качества и (или) безопасности, а равно нарушения повышенной общественной опасности, предусмотрена администрат</w:t>
      </w:r>
      <w:r>
        <w:rPr>
          <w:rFonts w:ascii="Times New Roman" w:hAnsi="Times New Roman" w:eastAsia="Times New Roman" w:cs="Times New Roman"/>
          <w:i w:val="0"/>
          <w:iCs w:val="0"/>
          <w:color w:val="auto"/>
          <w:sz w:val="28"/>
          <w:szCs w:val="28"/>
          <w:highlight w:val="none"/>
          <w:u w:val="none"/>
        </w:rPr>
        <w:t xml:space="preserve">ивная, уголовная и гражданско - правовая ответственность</w:t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  <w:t xml:space="preserve">.</w:t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</w:p>
    <w:p>
      <w:pPr>
        <w:pStyle w:val="903"/>
        <w:spacing w:after="0" w:afterAutospacing="0" w:line="276" w:lineRule="auto"/>
        <w:ind w:firstLine="708"/>
        <w:jc w:val="both"/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</w:p>
    <w:p>
      <w:pPr>
        <w:pStyle w:val="903"/>
        <w:spacing w:after="0" w:afterAutospacing="0" w:line="276" w:lineRule="auto"/>
        <w:jc w:val="both"/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highlight w:val="none"/>
          <w:u w:val="none"/>
        </w:rPr>
      </w:r>
    </w:p>
    <w:p>
      <w:pPr>
        <w:pStyle w:val="903"/>
        <w:spacing w:after="0" w:afterAutospacing="0" w:line="276" w:lineRule="auto"/>
        <w:ind w:firstLine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  <w:t xml:space="preserve">10. Перечень основных нормативных актов регламентирующих порядок приемки и изъятия из оборота пищевой продукции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firstLine="0"/>
        <w:jc w:val="left"/>
        <w:rPr>
          <w:rFonts w:ascii="Times New Roman" w:hAnsi="Times New Roman" w:cs="Times New Roman"/>
          <w:b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numPr>
          <w:numId w:val="9"/>
          <w:ilvl w:val="0"/>
        </w:numPr>
        <w:spacing w:after="0" w:afterAutospacing="0" w:line="276" w:lineRule="auto"/>
        <w:ind w:left="0" w:right="0" w:firstLine="36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Закон РФ от 14.05.1993 № 4979-1  «О ветеринарии»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numPr>
          <w:numId w:val="9"/>
          <w:ilvl w:val="0"/>
        </w:numPr>
        <w:spacing w:after="0" w:afterAutospacing="0" w:line="276" w:lineRule="auto"/>
        <w:ind w:left="0" w:right="0" w:firstLine="360"/>
        <w:jc w:val="both"/>
        <w:rPr>
          <w:rFonts w:ascii="Times New Roman" w:hAnsi="Times New Roman" w:cs="Times New Roman"/>
          <w:b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Федеральный закон от 02.01.2000 № 29-ФЗ «О качестве и безопасности пищевых продуктов»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numPr>
          <w:numId w:val="9"/>
          <w:ilvl w:val="0"/>
        </w:numPr>
        <w:spacing w:after="0" w:afterAutospacing="0" w:line="276" w:lineRule="auto"/>
        <w:ind w:left="0" w:right="0" w:firstLine="36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Федеральный закон от 27.12.2002 № 184-ФЗ  «О техническом регулировании»;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numPr>
          <w:numId w:val="9"/>
          <w:ilvl w:val="0"/>
        </w:numPr>
        <w:spacing w:after="0" w:afterAutospacing="0" w:line="276" w:lineRule="auto"/>
        <w:ind w:left="0" w:right="0" w:firstLine="36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Решение Комиссии Таможенного союза от 09.12.2011 № 880 «О принятии технического регламента Таможенного союза «О безопасности пищевой продукции» (ТР ТС 021/2011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numPr>
          <w:numId w:val="9"/>
          <w:ilvl w:val="0"/>
        </w:numPr>
        <w:spacing w:after="0" w:afterAutospacing="0" w:line="276" w:lineRule="auto"/>
        <w:ind w:left="0" w:right="0" w:firstLine="36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остановление Правительства РФ от 07.10.2020 № 1612 «Об утверждении Положения о порядке изъятия из обращения, проведения экспертизы, временного хранения, утилизации или уничтожения некачественных и (или) опасных пищевых продуктов, материалов и изделий, конт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актирующих с пищевыми продуктами»;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numPr>
          <w:numId w:val="9"/>
          <w:ilvl w:val="0"/>
        </w:numPr>
        <w:spacing w:after="0" w:afterAutospacing="0" w:line="276" w:lineRule="auto"/>
        <w:ind w:left="0" w:right="0" w:firstLine="36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риказ Минсельхоза России от 13.12.2022 № 862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  <w:t xml:space="preserve"> ветеринарных сопроводительных документов на бумажных носителях»;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numPr>
          <w:numId w:val="9"/>
          <w:ilvl w:val="0"/>
        </w:numPr>
        <w:spacing w:after="0" w:afterAutospacing="0" w:line="276" w:lineRule="auto"/>
        <w:ind w:left="0" w:right="0" w:firstLine="36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Приказ Минсельхоза России от 18.12.2015 № 646 «Об утверждении Перечня продукции животного происхождения, на которую уполномоченные лица организаций, являющихся производителями подконтрольных товаров и (или) участниками оборота подконтро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льных товаров, и индивидуальные предприниматели, являющиеся производителями подконтрольных товаров и (или) участниками оборота подконтрольных товаров, могут оформлять ветеринарные сопроводительные документы»;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numPr>
          <w:numId w:val="9"/>
          <w:ilvl w:val="0"/>
        </w:numPr>
        <w:spacing w:after="0" w:afterAutospacing="0" w:line="276" w:lineRule="auto"/>
        <w:ind w:left="0" w:right="0" w:firstLine="36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Приказ Минсельхоза России от 18.12.2015 № 648 «Об утверждении Перечня подконтрольных товаров, подлежащих сопровождению ветеринарными сопроводительными документами»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pStyle w:val="903"/>
        <w:spacing w:after="0" w:afterAutospacing="0" w:line="276" w:lineRule="auto"/>
        <w:ind w:right="0" w:firstLine="708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  <w:highlight w:val="none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0"/>
      <w:jc w:val="center"/>
    </w:pPr>
    <w:fldSimple w:instr="PAGE \* MERGEFORMAT">
      <w:r>
        <w:t xml:space="preserve">1</w:t>
      </w:r>
    </w:fldSimple>
  </w:p>
  <w:p>
    <w:pPr>
      <w:pStyle w:val="75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81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601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321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304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761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481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20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921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641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4">
    <w:name w:val="Heading 1"/>
    <w:basedOn w:val="900"/>
    <w:next w:val="900"/>
    <w:link w:val="72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5">
    <w:name w:val="Heading 1 Char"/>
    <w:link w:val="724"/>
    <w:uiPriority w:val="9"/>
    <w:rPr>
      <w:rFonts w:ascii="Arial" w:hAnsi="Arial" w:eastAsia="Arial" w:cs="Arial"/>
      <w:sz w:val="40"/>
      <w:szCs w:val="40"/>
    </w:rPr>
  </w:style>
  <w:style w:type="paragraph" w:styleId="726">
    <w:name w:val="Heading 2"/>
    <w:basedOn w:val="900"/>
    <w:next w:val="900"/>
    <w:link w:val="72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7">
    <w:name w:val="Heading 2 Char"/>
    <w:link w:val="726"/>
    <w:uiPriority w:val="9"/>
    <w:rPr>
      <w:rFonts w:ascii="Arial" w:hAnsi="Arial" w:eastAsia="Arial" w:cs="Arial"/>
      <w:sz w:val="34"/>
    </w:rPr>
  </w:style>
  <w:style w:type="paragraph" w:styleId="728">
    <w:name w:val="Heading 3"/>
    <w:basedOn w:val="900"/>
    <w:next w:val="900"/>
    <w:link w:val="72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9">
    <w:name w:val="Heading 3 Char"/>
    <w:link w:val="728"/>
    <w:uiPriority w:val="9"/>
    <w:rPr>
      <w:rFonts w:ascii="Arial" w:hAnsi="Arial" w:eastAsia="Arial" w:cs="Arial"/>
      <w:sz w:val="30"/>
      <w:szCs w:val="30"/>
    </w:rPr>
  </w:style>
  <w:style w:type="paragraph" w:styleId="730">
    <w:name w:val="Heading 4"/>
    <w:basedOn w:val="900"/>
    <w:next w:val="900"/>
    <w:link w:val="73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1">
    <w:name w:val="Heading 4 Char"/>
    <w:link w:val="730"/>
    <w:uiPriority w:val="9"/>
    <w:rPr>
      <w:rFonts w:ascii="Arial" w:hAnsi="Arial" w:eastAsia="Arial" w:cs="Arial"/>
      <w:b/>
      <w:bCs/>
      <w:sz w:val="26"/>
      <w:szCs w:val="26"/>
    </w:rPr>
  </w:style>
  <w:style w:type="paragraph" w:styleId="732">
    <w:name w:val="Heading 5"/>
    <w:basedOn w:val="900"/>
    <w:next w:val="900"/>
    <w:link w:val="73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3">
    <w:name w:val="Heading 5 Char"/>
    <w:link w:val="732"/>
    <w:uiPriority w:val="9"/>
    <w:rPr>
      <w:rFonts w:ascii="Arial" w:hAnsi="Arial" w:eastAsia="Arial" w:cs="Arial"/>
      <w:b/>
      <w:bCs/>
      <w:sz w:val="24"/>
      <w:szCs w:val="24"/>
    </w:rPr>
  </w:style>
  <w:style w:type="paragraph" w:styleId="734">
    <w:name w:val="Heading 6"/>
    <w:basedOn w:val="900"/>
    <w:next w:val="900"/>
    <w:link w:val="73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5">
    <w:name w:val="Heading 6 Char"/>
    <w:link w:val="734"/>
    <w:uiPriority w:val="9"/>
    <w:rPr>
      <w:rFonts w:ascii="Arial" w:hAnsi="Arial" w:eastAsia="Arial" w:cs="Arial"/>
      <w:b/>
      <w:bCs/>
      <w:sz w:val="22"/>
      <w:szCs w:val="22"/>
    </w:rPr>
  </w:style>
  <w:style w:type="paragraph" w:styleId="736">
    <w:name w:val="Heading 7"/>
    <w:basedOn w:val="900"/>
    <w:next w:val="900"/>
    <w:link w:val="73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7">
    <w:name w:val="Heading 7 Char"/>
    <w:link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8">
    <w:name w:val="Heading 8"/>
    <w:basedOn w:val="900"/>
    <w:next w:val="900"/>
    <w:link w:val="73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9">
    <w:name w:val="Heading 8 Char"/>
    <w:link w:val="738"/>
    <w:uiPriority w:val="9"/>
    <w:rPr>
      <w:rFonts w:ascii="Arial" w:hAnsi="Arial" w:eastAsia="Arial" w:cs="Arial"/>
      <w:i/>
      <w:iCs/>
      <w:sz w:val="22"/>
      <w:szCs w:val="22"/>
    </w:rPr>
  </w:style>
  <w:style w:type="paragraph" w:styleId="740">
    <w:name w:val="Heading 9"/>
    <w:basedOn w:val="900"/>
    <w:next w:val="900"/>
    <w:link w:val="74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1">
    <w:name w:val="Heading 9 Char"/>
    <w:link w:val="740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Title"/>
    <w:basedOn w:val="900"/>
    <w:next w:val="900"/>
    <w:link w:val="74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43">
    <w:name w:val="Title Char"/>
    <w:link w:val="742"/>
    <w:uiPriority w:val="10"/>
    <w:rPr>
      <w:sz w:val="48"/>
      <w:szCs w:val="48"/>
    </w:rPr>
  </w:style>
  <w:style w:type="paragraph" w:styleId="744">
    <w:name w:val="Subtitle"/>
    <w:basedOn w:val="900"/>
    <w:next w:val="900"/>
    <w:link w:val="745"/>
    <w:uiPriority w:val="11"/>
    <w:qFormat/>
    <w:pPr>
      <w:spacing w:before="200" w:after="200"/>
    </w:pPr>
    <w:rPr>
      <w:sz w:val="24"/>
      <w:szCs w:val="24"/>
    </w:rPr>
  </w:style>
  <w:style w:type="character" w:styleId="745">
    <w:name w:val="Subtitle Char"/>
    <w:link w:val="744"/>
    <w:uiPriority w:val="11"/>
    <w:rPr>
      <w:sz w:val="24"/>
      <w:szCs w:val="24"/>
    </w:rPr>
  </w:style>
  <w:style w:type="paragraph" w:styleId="746">
    <w:name w:val="Quote"/>
    <w:basedOn w:val="900"/>
    <w:next w:val="900"/>
    <w:link w:val="747"/>
    <w:uiPriority w:val="29"/>
    <w:qFormat/>
    <w:pPr>
      <w:ind w:left="720" w:right="720"/>
    </w:pPr>
    <w:rPr>
      <w:i/>
    </w:rPr>
  </w:style>
  <w:style w:type="character" w:styleId="747">
    <w:name w:val="Quote Char"/>
    <w:link w:val="746"/>
    <w:uiPriority w:val="29"/>
    <w:rPr>
      <w:i/>
    </w:rPr>
  </w:style>
  <w:style w:type="paragraph" w:styleId="748">
    <w:name w:val="Intense Quote"/>
    <w:basedOn w:val="900"/>
    <w:next w:val="900"/>
    <w:link w:val="74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49">
    <w:name w:val="Intense Quote Char"/>
    <w:link w:val="748"/>
    <w:uiPriority w:val="30"/>
    <w:rPr>
      <w:i/>
    </w:rPr>
  </w:style>
  <w:style w:type="paragraph" w:styleId="750">
    <w:name w:val="Header"/>
    <w:basedOn w:val="900"/>
    <w:link w:val="75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51">
    <w:name w:val="Header Char"/>
    <w:link w:val="750"/>
    <w:uiPriority w:val="99"/>
  </w:style>
  <w:style w:type="paragraph" w:styleId="752">
    <w:name w:val="Footer"/>
    <w:basedOn w:val="900"/>
    <w:link w:val="75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53">
    <w:name w:val="Footer Char"/>
    <w:link w:val="752"/>
    <w:uiPriority w:val="99"/>
  </w:style>
  <w:style w:type="paragraph" w:styleId="754">
    <w:name w:val="Caption"/>
    <w:basedOn w:val="900"/>
    <w:next w:val="9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5">
    <w:name w:val="Caption Char"/>
    <w:basedOn w:val="754"/>
    <w:link w:val="752"/>
    <w:uiPriority w:val="99"/>
  </w:style>
  <w:style w:type="table" w:styleId="756">
    <w:name w:val="Table Grid"/>
    <w:basedOn w:val="90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Table Grid Light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1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2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1">
    <w:name w:val="Plain Table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Plain Table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3">
    <w:name w:val="Grid Table 1 Light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1">
    <w:name w:val="Grid Table 2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2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3">
    <w:name w:val="Grid Table 2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4">
    <w:name w:val="Grid Table 2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5">
    <w:name w:val="Grid Table 2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6">
    <w:name w:val="Grid Table 2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7">
    <w:name w:val="Grid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8">
    <w:name w:val="Grid Table 3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9">
    <w:name w:val="Grid Table 3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0">
    <w:name w:val="Grid Table 3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1">
    <w:name w:val="Grid Table 3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2">
    <w:name w:val="Grid Table 3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3">
    <w:name w:val="Grid Table 3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4">
    <w:name w:val="Grid Table 4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5">
    <w:name w:val="Grid Table 4 - Accent 1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6">
    <w:name w:val="Grid Table 4 - Accent 2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Grid Table 4 - Accent 3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8">
    <w:name w:val="Grid Table 4 - Accent 4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Grid Table 4 - Accent 5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0">
    <w:name w:val="Grid Table 4 - Accent 6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1">
    <w:name w:val="Grid Table 5 Dark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92">
    <w:name w:val="Grid Table 5 Dark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93">
    <w:name w:val="Grid Table 5 Dark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94">
    <w:name w:val="Grid Table 5 Dark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95">
    <w:name w:val="Grid Table 5 Dark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96">
    <w:name w:val="Grid Table 5 Dark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97">
    <w:name w:val="Grid Table 5 Dark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98">
    <w:name w:val="Grid Table 6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9">
    <w:name w:val="Grid Table 6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0">
    <w:name w:val="Grid Table 6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1">
    <w:name w:val="Grid Table 6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2">
    <w:name w:val="Grid Table 6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3">
    <w:name w:val="Grid Table 6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6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7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6">
    <w:name w:val="Grid Table 7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7">
    <w:name w:val="Grid Table 7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8">
    <w:name w:val="Grid Table 7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9">
    <w:name w:val="Grid Table 7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0">
    <w:name w:val="Grid Table 7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1">
    <w:name w:val="Grid Table 7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2">
    <w:name w:val="List Table 1 Light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0">
    <w:name w:val="List Table 2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1">
    <w:name w:val="List Table 2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2">
    <w:name w:val="List Table 2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3">
    <w:name w:val="List Table 2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4">
    <w:name w:val="List Table 2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5">
    <w:name w:val="List Table 2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6">
    <w:name w:val="List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5 Dark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6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8">
    <w:name w:val="List Table 6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9">
    <w:name w:val="List Table 6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0">
    <w:name w:val="List Table 6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1">
    <w:name w:val="List Table 6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2">
    <w:name w:val="List Table 6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3">
    <w:name w:val="List Table 6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4">
    <w:name w:val="List Table 7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5">
    <w:name w:val="List Table 7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6">
    <w:name w:val="List Table 7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7">
    <w:name w:val="List Table 7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8">
    <w:name w:val="List Table 7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9">
    <w:name w:val="List Table 7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60">
    <w:name w:val="List Table 7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1">
    <w:name w:val="Lined - Accent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Lined - Accent 1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3">
    <w:name w:val="Lined - Accent 2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4">
    <w:name w:val="Lined - Accent 3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5">
    <w:name w:val="Lined - Accent 4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6">
    <w:name w:val="Lined - Accent 5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7">
    <w:name w:val="Lined - Accent 6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8">
    <w:name w:val="Bordered &amp; Lined - Accent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Bordered &amp; Lined - Accent 1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0">
    <w:name w:val="Bordered &amp; Lined - Accent 2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1">
    <w:name w:val="Bordered &amp; Lined - Accent 3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2">
    <w:name w:val="Bordered &amp; Lined - Accent 4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3">
    <w:name w:val="Bordered &amp; Lined - Accent 5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4">
    <w:name w:val="Bordered &amp; Lined - Accent 6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5">
    <w:name w:val="Bordered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6">
    <w:name w:val="Bordered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7">
    <w:name w:val="Bordered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8">
    <w:name w:val="Bordered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9">
    <w:name w:val="Bordered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0">
    <w:name w:val="Bordered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1">
    <w:name w:val="Bordered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2">
    <w:name w:val="Hyperlink"/>
    <w:uiPriority w:val="99"/>
    <w:unhideWhenUsed/>
    <w:rPr>
      <w:color w:val="0000ff" w:themeColor="hyperlink"/>
      <w:u w:val="single"/>
    </w:rPr>
  </w:style>
  <w:style w:type="paragraph" w:styleId="883">
    <w:name w:val="footnote text"/>
    <w:basedOn w:val="900"/>
    <w:link w:val="884"/>
    <w:uiPriority w:val="99"/>
    <w:semiHidden/>
    <w:unhideWhenUsed/>
    <w:pPr>
      <w:spacing w:after="40" w:line="240" w:lineRule="auto"/>
    </w:pPr>
    <w:rPr>
      <w:sz w:val="18"/>
    </w:rPr>
  </w:style>
  <w:style w:type="character" w:styleId="884">
    <w:name w:val="Footnote Text Char"/>
    <w:link w:val="883"/>
    <w:uiPriority w:val="99"/>
    <w:rPr>
      <w:sz w:val="18"/>
    </w:rPr>
  </w:style>
  <w:style w:type="character" w:styleId="885">
    <w:name w:val="footnote reference"/>
    <w:uiPriority w:val="99"/>
    <w:unhideWhenUsed/>
    <w:rPr>
      <w:vertAlign w:val="superscript"/>
    </w:rPr>
  </w:style>
  <w:style w:type="paragraph" w:styleId="886">
    <w:name w:val="endnote text"/>
    <w:basedOn w:val="900"/>
    <w:link w:val="887"/>
    <w:uiPriority w:val="99"/>
    <w:semiHidden/>
    <w:unhideWhenUsed/>
    <w:pPr>
      <w:spacing w:after="0" w:line="240" w:lineRule="auto"/>
    </w:pPr>
    <w:rPr>
      <w:sz w:val="20"/>
    </w:rPr>
  </w:style>
  <w:style w:type="character" w:styleId="887">
    <w:name w:val="Endnote Text Char"/>
    <w:link w:val="886"/>
    <w:uiPriority w:val="99"/>
    <w:rPr>
      <w:sz w:val="20"/>
    </w:rPr>
  </w:style>
  <w:style w:type="character" w:styleId="888">
    <w:name w:val="endnote reference"/>
    <w:uiPriority w:val="99"/>
    <w:semiHidden/>
    <w:unhideWhenUsed/>
    <w:rPr>
      <w:vertAlign w:val="superscript"/>
    </w:rPr>
  </w:style>
  <w:style w:type="paragraph" w:styleId="889">
    <w:name w:val="toc 1"/>
    <w:basedOn w:val="900"/>
    <w:next w:val="900"/>
    <w:uiPriority w:val="39"/>
    <w:unhideWhenUsed/>
    <w:pPr>
      <w:spacing w:after="57"/>
      <w:ind w:left="0" w:right="0" w:firstLine="0"/>
    </w:pPr>
  </w:style>
  <w:style w:type="paragraph" w:styleId="890">
    <w:name w:val="toc 2"/>
    <w:basedOn w:val="900"/>
    <w:next w:val="900"/>
    <w:uiPriority w:val="39"/>
    <w:unhideWhenUsed/>
    <w:pPr>
      <w:spacing w:after="57"/>
      <w:ind w:left="283" w:right="0" w:firstLine="0"/>
    </w:pPr>
  </w:style>
  <w:style w:type="paragraph" w:styleId="891">
    <w:name w:val="toc 3"/>
    <w:basedOn w:val="900"/>
    <w:next w:val="900"/>
    <w:uiPriority w:val="39"/>
    <w:unhideWhenUsed/>
    <w:pPr>
      <w:spacing w:after="57"/>
      <w:ind w:left="567" w:right="0" w:firstLine="0"/>
    </w:pPr>
  </w:style>
  <w:style w:type="paragraph" w:styleId="892">
    <w:name w:val="toc 4"/>
    <w:basedOn w:val="900"/>
    <w:next w:val="900"/>
    <w:uiPriority w:val="39"/>
    <w:unhideWhenUsed/>
    <w:pPr>
      <w:spacing w:after="57"/>
      <w:ind w:left="850" w:right="0" w:firstLine="0"/>
    </w:pPr>
  </w:style>
  <w:style w:type="paragraph" w:styleId="893">
    <w:name w:val="toc 5"/>
    <w:basedOn w:val="900"/>
    <w:next w:val="900"/>
    <w:uiPriority w:val="39"/>
    <w:unhideWhenUsed/>
    <w:pPr>
      <w:spacing w:after="57"/>
      <w:ind w:left="1134" w:right="0" w:firstLine="0"/>
    </w:pPr>
  </w:style>
  <w:style w:type="paragraph" w:styleId="894">
    <w:name w:val="toc 6"/>
    <w:basedOn w:val="900"/>
    <w:next w:val="900"/>
    <w:uiPriority w:val="39"/>
    <w:unhideWhenUsed/>
    <w:pPr>
      <w:spacing w:after="57"/>
      <w:ind w:left="1417" w:right="0" w:firstLine="0"/>
    </w:pPr>
  </w:style>
  <w:style w:type="paragraph" w:styleId="895">
    <w:name w:val="toc 7"/>
    <w:basedOn w:val="900"/>
    <w:next w:val="900"/>
    <w:uiPriority w:val="39"/>
    <w:unhideWhenUsed/>
    <w:pPr>
      <w:spacing w:after="57"/>
      <w:ind w:left="1701" w:right="0" w:firstLine="0"/>
    </w:pPr>
  </w:style>
  <w:style w:type="paragraph" w:styleId="896">
    <w:name w:val="toc 8"/>
    <w:basedOn w:val="900"/>
    <w:next w:val="900"/>
    <w:uiPriority w:val="39"/>
    <w:unhideWhenUsed/>
    <w:pPr>
      <w:spacing w:after="57"/>
      <w:ind w:left="1984" w:right="0" w:firstLine="0"/>
    </w:pPr>
  </w:style>
  <w:style w:type="paragraph" w:styleId="897">
    <w:name w:val="toc 9"/>
    <w:basedOn w:val="900"/>
    <w:next w:val="900"/>
    <w:uiPriority w:val="39"/>
    <w:unhideWhenUsed/>
    <w:pPr>
      <w:spacing w:after="57"/>
      <w:ind w:left="2268" w:right="0" w:firstLine="0"/>
    </w:pPr>
  </w:style>
  <w:style w:type="paragraph" w:styleId="898">
    <w:name w:val="TOC Heading"/>
    <w:uiPriority w:val="39"/>
    <w:unhideWhenUsed/>
  </w:style>
  <w:style w:type="paragraph" w:styleId="899">
    <w:name w:val="table of figures"/>
    <w:basedOn w:val="900"/>
    <w:next w:val="900"/>
    <w:uiPriority w:val="99"/>
    <w:unhideWhenUsed/>
    <w:pPr>
      <w:spacing w:after="0" w:afterAutospacing="0"/>
    </w:pPr>
  </w:style>
  <w:style w:type="paragraph" w:styleId="900" w:default="1">
    <w:name w:val="Normal"/>
    <w:qFormat/>
  </w:style>
  <w:style w:type="table" w:styleId="9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2" w:default="1">
    <w:name w:val="No List"/>
    <w:uiPriority w:val="99"/>
    <w:semiHidden/>
    <w:unhideWhenUsed/>
  </w:style>
  <w:style w:type="paragraph" w:styleId="903">
    <w:name w:val="No Spacing"/>
    <w:basedOn w:val="900"/>
    <w:uiPriority w:val="1"/>
    <w:qFormat/>
    <w:pPr>
      <w:spacing w:after="0" w:line="240" w:lineRule="auto"/>
    </w:pPr>
  </w:style>
  <w:style w:type="paragraph" w:styleId="904">
    <w:name w:val="List Paragraph"/>
    <w:basedOn w:val="900"/>
    <w:uiPriority w:val="34"/>
    <w:qFormat/>
    <w:pPr>
      <w:ind w:left="720"/>
      <w:contextualSpacing/>
    </w:pPr>
  </w:style>
  <w:style w:type="character" w:styleId="905" w:default="1">
    <w:name w:val="Default Paragraph Font"/>
    <w:uiPriority w:val="1"/>
    <w:semiHidden/>
    <w:unhideWhenUsed/>
  </w:style>
  <w:style w:type="paragraph" w:styleId="906" w:customStyle="1">
    <w:name w:val="Body Text 3"/>
    <w:basedOn w:val="737"/>
    <w:uiPriority w:val="99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12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Smirnova</cp:lastModifiedBy>
  <cp:revision>54</cp:revision>
  <dcterms:modified xsi:type="dcterms:W3CDTF">2025-09-05T10:01:46Z</dcterms:modified>
</cp:coreProperties>
</file>